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50" w:lineRule="atLeast"/>
        <w:ind w:left="0" w:right="0" w:firstLine="0"/>
        <w:jc w:val="both"/>
        <w:rPr>
          <w:rFonts w:hint="eastAsia" w:ascii="仿宋" w:hAnsi="仿宋" w:eastAsia="仿宋" w:cs="仿宋"/>
          <w:i w:val="0"/>
          <w:iCs w:val="0"/>
          <w:caps w:val="0"/>
          <w:color w:val="666666"/>
          <w:spacing w:val="0"/>
          <w:sz w:val="21"/>
          <w:szCs w:val="21"/>
        </w:rPr>
      </w:pPr>
      <w:bookmarkStart w:id="0" w:name="_GoBack"/>
      <w:r>
        <w:rPr>
          <w:rStyle w:val="7"/>
          <w:rFonts w:hint="eastAsia" w:ascii="仿宋" w:hAnsi="仿宋" w:eastAsia="仿宋" w:cs="仿宋"/>
          <w:b/>
          <w:bCs/>
          <w:i w:val="0"/>
          <w:iCs w:val="0"/>
          <w:caps w:val="0"/>
          <w:color w:val="666666"/>
          <w:spacing w:val="0"/>
          <w:sz w:val="43"/>
          <w:szCs w:val="43"/>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50" w:lineRule="atLeast"/>
        <w:ind w:left="0" w:right="0" w:firstLine="0"/>
        <w:jc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43"/>
          <w:szCs w:val="43"/>
          <w:shd w:val="clear" w:fill="FFFFFF"/>
          <w:lang w:val="en-US" w:eastAsia="zh-CN"/>
          <w14:textFill>
            <w14:solidFill>
              <w14:schemeClr w14:val="tx1"/>
            </w14:solidFill>
          </w14:textFill>
        </w:rPr>
        <w:t>蔡甸区</w:t>
      </w:r>
      <w:r>
        <w:rPr>
          <w:rStyle w:val="7"/>
          <w:rFonts w:hint="eastAsia" w:ascii="仿宋" w:hAnsi="仿宋" w:eastAsia="仿宋" w:cs="仿宋"/>
          <w:b/>
          <w:bCs/>
          <w:i w:val="0"/>
          <w:iCs w:val="0"/>
          <w:caps w:val="0"/>
          <w:color w:val="000000" w:themeColor="text1"/>
          <w:spacing w:val="0"/>
          <w:sz w:val="43"/>
          <w:szCs w:val="43"/>
          <w:shd w:val="clear" w:fill="FFFFFF"/>
          <w14:textFill>
            <w14:solidFill>
              <w14:schemeClr w14:val="tx1"/>
            </w14:solidFill>
          </w14:textFill>
        </w:rPr>
        <w:t>救助管理站202</w:t>
      </w:r>
      <w:r>
        <w:rPr>
          <w:rStyle w:val="7"/>
          <w:rFonts w:hint="eastAsia" w:ascii="仿宋" w:hAnsi="仿宋" w:eastAsia="仿宋" w:cs="仿宋"/>
          <w:b/>
          <w:bCs/>
          <w:i w:val="0"/>
          <w:iCs w:val="0"/>
          <w:caps w:val="0"/>
          <w:color w:val="000000" w:themeColor="text1"/>
          <w:spacing w:val="0"/>
          <w:sz w:val="43"/>
          <w:szCs w:val="43"/>
          <w:shd w:val="clear" w:fill="FFFFFF"/>
          <w:lang w:val="en-US" w:eastAsia="zh-CN"/>
          <w14:textFill>
            <w14:solidFill>
              <w14:schemeClr w14:val="tx1"/>
            </w14:solidFill>
          </w14:textFill>
        </w:rPr>
        <w:t>2</w:t>
      </w:r>
      <w:r>
        <w:rPr>
          <w:rStyle w:val="7"/>
          <w:rFonts w:hint="eastAsia" w:ascii="仿宋" w:hAnsi="仿宋" w:eastAsia="仿宋" w:cs="仿宋"/>
          <w:b/>
          <w:bCs/>
          <w:i w:val="0"/>
          <w:iCs w:val="0"/>
          <w:caps w:val="0"/>
          <w:color w:val="000000" w:themeColor="text1"/>
          <w:spacing w:val="0"/>
          <w:sz w:val="43"/>
          <w:szCs w:val="43"/>
          <w:shd w:val="clear" w:fill="FFFFFF"/>
          <w14:textFill>
            <w14:solidFill>
              <w14:schemeClr w14:val="tx1"/>
            </w14:solidFill>
          </w14:textFill>
        </w:rPr>
        <w:t>年度部门整体支出绩效自评报告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50" w:lineRule="atLeast"/>
        <w:ind w:left="0" w:right="0" w:firstLine="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43"/>
          <w:szCs w:val="43"/>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为全面推进预算绩效管理，促进部门从整体绩效上提升绩效管理水平，提高财政资金使用效益，我站对202</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年度财政预算资金整体支出进行了绩效评价。现将自评情况报告如下：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 </w:t>
      </w:r>
      <w:r>
        <w:rPr>
          <w:rStyle w:val="7"/>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w:t>
      </w: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一、预算单位基本情况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（一）机构设置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蔡甸区</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救助管理站始建于</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2012</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与蔡甸区社会福利院合署办公，2021年经编办批准更改为独立设置，为公益一类事业单位，2020年8月搬迁蔡甸街马家渡村。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 </w:t>
      </w: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(二)人员情况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截止202</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年12月31日，单位在职人员</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事业2人，其他单位借调1人，外聘6人</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，设有</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站长室、</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办公室、财务室、业务</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室值班室等</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（三）主要职责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1、主要担负</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蔡甸区</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流浪乞讨人员救助和在全国各地救助站受助的</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蔡甸</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区人员的接收、联系返乡的任务。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2、无法查明身份信息的长期滞留人员落户安置工作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二、预算收入支出情况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（一）预算收入情况：</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年预算收入</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110.36</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万元。其中年初预算收入</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110.36</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（二）预算支出情况：</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年本单位共支出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110.36</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万元，其中基本支出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30.22</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万元，项目支出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80.13</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1</w:t>
      </w: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、项目支出</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：全年总计</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80.13</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万元，占总支出的</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73</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%。其中一般公共预算财政拨款支出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68.44</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万元，主要用于流浪乞讨人员生活救助、医疗救助、返乡救助、教育矫治等七个方面的救助工作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（三）结转结余情况：</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年末无结余。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三、资金使用及绩效情况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我站在部门整体支出及专项资金支出中，严格按照年初预算安排，及时申报年中预算调整，强化经费监督，做到收支合理。在具体工作中依法合理有效的使用每一项资金，认真执行财政和主管部门的制度，建立严格的资金支付流程， 专款专用。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6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（一）整体支出绩效情况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蔡甸区救助管理站以党的二十大精神为引领，按照习近平总书记关于流浪乞讨人员救助管理工作的重要指示批示要求，坚决践行“以人民为中心”的发展思想，紧紧围绕年初既定的工作目标，加强救助管理机构自身建设，提高救助管理工作水平，推动救助管理服务质量大提升，多项工作取得了突破，全年绩效工作任务圆满完成。现将一年来救助管理工作情况汇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一、绩效目标完成情况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绩效目标任务：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1.扎实做好流浪乞讨人员救助工作，自愿求助流浪乞讨人员救助率100%。2.救助对象非正常死亡率为零。3.救助管理服务质量得到明显提升，流浪乞讨人员服务管理工作有效投诉率≤3‰，群众咨询投诉回告率100%。4.持续做好流浪乞讨人员疫情防控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目标完成情况：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1.救助站本着“应救尽救，一个不漏”的原则对流浪乞讨人员进行救助，2022年共救助38人次。其中救助机构护送6人次，自行离站25人次，单位亲属村接领接回6人次，站外救助1人次；提供食物的有</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35</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人次，提供住宿的有</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35</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人次，提供通讯的有32人。救助率达到100%。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 xml:space="preserve">2.救助站和托养机构都实行24小时值班值守，救助对象非正常死亡率为零。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 xml:space="preserve"> 3.救助管理服务质量明显提升。（1）长期滞留人员落户安置工作取得实效。安置工作是救助管理工作中最难的一个环节，截止至2022年8月，区救助站有9名长期滞留人员，除1名因突发疾病去世外，其余8名滞留人员在民政局的大力支持下已全部完成落户手续，分别安置在养老机构和医疗机构，享有医保和特困等待遇，受助人员人身权利得到保障。目前，站内无长期滞留人员。（2）做好救助寻亲工作。救助站通过DNA比对、人像识别等方式甄别救助人员身份信息，对滞留超过１个月的受助人员，救助站根据救助情况在全国救助寻亲网、“头条寻人”等平台发布寻亲信息。2022年，区救助站通过人脸识别成功为4位救助人员找到家人，与亲人团聚。（3）实施主动救助，街面巡查常态化。救助管理站制定常态化、制度化街面巡查制度，每周3-4次街面巡查，以蔡甸区城区为范围，重点巡查菜场、公园、广场、江滩、地铁站及废弃工地等区域，巡查过程中，做到及时发现，及时救助，为不愿意入站的流浪乞讨人员送上食品、衣服等救助物资，及时为附近流浪乞讨人员提供临时救助，并根据其需求提供后续帮助和服务，发现“强行讨要”、“职业乞讨”等不文明现象及时劝阻。积极开展“夏季送清凉”和“寒冬送温暖”活动。夏季气温达到35°c，救助车上午和下午都在街面巡查，“夏季送清凉”行动自6.6-9.11日止，期间出动救助车辆139台次，工作人员341人次，救助流浪乞讨人员15名，发放衣物、食品、口罩、防暑药品等物资，购置1260余斤西瓜用于防暑降温。在极寒恶劣天气下，救助车早晚上街巡查，“寒冬送温暖”活动自10.18日至1月6日，期间出动救助车辆72台次，出动工作人员158人次，救助流浪乞讨人员6人次，发放御寒衣物6套，以及口罩、食物等物资，目前站内还储备大量的御寒物资，保证流浪乞讨人员安全过冬。 2022年街面巡查出动救助车278台次，工作人员995人次。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4.按照民政部最新版救助管理机构防疫工作指南要求，救助站重新制定疫情防控工作方案，持续做好流浪乞讨人员疫情防控工作。为贯彻落实常态化疫情防控工作“外防输入，内防反弹”的工作要求，坚决防止疫情反弹，对疫情防控工作再安排再部署，做到“三强化”。一是强化疫情防控意识。密切关注疫情形势变化，及时将疫情防控要求传达到每一位工作人员；加强值班工作，确保24小时值班电话、值班人员在岗在状态，持续推进各项救助工作顺利开展。二是强化“守小门”力度和做好防疫物资储备。严格做好来站人员进出站管理工作，做好来访人员登记手续，明确专人落实测温、抗原检测和消毒等工作，根据疫情情况及时调整入站核酸或抗原结果查验；储备充足的口罩、防护服、消毒液、一次性手套等防疫物资；三是强化出行提示和健康宣传。强化站内工作人员出行管理，外出必须报备，经站主要领导同意并务必做好个人防护；加强做好健康宣传工作，要求工作人员科学佩戴口罩、勤洗手、常通风、不聚集，保持安全社交距离。积极推动救助站工作人员及托养人员新冠疫苗接种工作，目前救助站9名工作人员除1人无法接种疫苗外，其余8人均已接种3针疫苗；原救助站托养的9名长期滞留人员在结束托养前均已接种第一针新冠疫苗。救助管理服务质量得到明显提升，流浪乞讨人员服务管理工作有效投诉率为零，群众咨询投诉回告率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二、狠抓安全管理工作，把好安全生产关。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区救助管理站以“不留盲区、不留死角”的工作态度，制定了详细的安全隐患排查方案，对站内及托养机构的电路、消防设施、天然气管道、食品药品安全等开展全面隐患排查工作，明确平时定期每月2次检查、不定期抽查、节日必查“三必查”，明确各项排查工作的具体责任人，列出安全隐患排查清单，发现隐患及时处理。全力维护站内和托养机构内的流浪乞讨人员生命安全和身体健康，构建规范、精准、高效的安全管理体系，切实抓好安全工作，严防各类风险隐患。目前，救助站内及托养机构安全事故零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三、精心组织“开放日”宣传活动。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0" w:firstLineChars="200"/>
        <w:jc w:val="left"/>
        <w:textAlignment w:val="auto"/>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今年6月19日是第十个全国救助管理机构“开放日”。6月19日，蔡甸区救助管理站全体职工来到亲水平台开展以“救助，让弱有所扶更温馨”为主题的开放日宣传活动。活动现场通过设立横幅、宣传展板、发放宣传单等方式，向来往市民展示近十年来我区救助站在主动救助、返乡救助、寻亲服务、落户安置等方面的工作成果。通过介绍救助管理政策、救助程序、救助服务内容，向广大市民普及救助知识，引导社会力量积极参与，扩大救助信息传播渠道，帮助更多的流浪乞讨人员回归家庭，融入社会。开展此次开放日宣传活动,希望能帮助群众及时了解救助政策和救助法规的相关知识，提高群众对救助政策的知晓度，形成全社会关心救助管理工作、关爱流浪乞讨人员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right="0" w:firstLine="622" w:firstLineChars="200"/>
        <w:jc w:val="left"/>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（二）项目支出绩效情况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315" w:lineRule="atLeast"/>
        <w:ind w:left="0" w:right="0" w:firstLine="705"/>
        <w:jc w:val="left"/>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 xml:space="preserve">1、年初预算 </w:t>
      </w:r>
      <w:r>
        <w:rPr>
          <w:rStyle w:val="7"/>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流浪乞讨</w:t>
      </w: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专项经费</w:t>
      </w:r>
      <w:r>
        <w:rPr>
          <w:rStyle w:val="7"/>
          <w:rFonts w:hint="eastAsia" w:ascii="仿宋" w:hAnsi="仿宋" w:eastAsia="仿宋" w:cs="仿宋"/>
          <w:b/>
          <w:bCs/>
          <w:i w:val="0"/>
          <w:iCs w:val="0"/>
          <w:caps w:val="0"/>
          <w:color w:val="000000" w:themeColor="text1"/>
          <w:spacing w:val="0"/>
          <w:sz w:val="31"/>
          <w:szCs w:val="31"/>
          <w:shd w:val="clear" w:fill="FFFFFF"/>
          <w:lang w:val="en-US" w:eastAsia="zh-CN"/>
          <w14:textFill>
            <w14:solidFill>
              <w14:schemeClr w14:val="tx1"/>
            </w14:solidFill>
          </w14:textFill>
        </w:rPr>
        <w:t>17.19</w:t>
      </w: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万元。项目绩效情况如下：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315" w:lineRule="atLeast"/>
        <w:ind w:left="0" w:right="0" w:firstLine="705"/>
        <w:jc w:val="left"/>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流浪乞讨</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专项经费主要用于流浪乞讨救助管理工作，惠及救助对象</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38</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人次；救助队伍服务水平和服务质量显著提高，救助对象得到更精细、更周到的服务。</w:t>
      </w:r>
    </w:p>
    <w:p>
      <w:pPr>
        <w:keepNext w:val="0"/>
        <w:keepLines w:val="0"/>
        <w:widowControl/>
        <w:suppressLineNumbers w:val="0"/>
        <w:ind w:left="0" w:firstLine="620" w:firstLineChars="200"/>
        <w:outlineLvl w:val="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1）、2022年共救助</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38</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人</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次</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。其中救助机构护送6人次，自行离站25人次，单位亲属村接领接回6人次，站外救助1人次；提供食物的有34人次，提供住宿的有34人次，提供通讯的有32人。救助率达到100%</w:t>
      </w:r>
      <w:r>
        <w:rPr>
          <w:rFonts w:hint="eastAsia" w:ascii="仿宋" w:hAnsi="仿宋" w:eastAsia="仿宋" w:cs="仿宋"/>
          <w:b w:val="0"/>
          <w:bCs/>
          <w:color w:val="000000" w:themeColor="text1"/>
          <w:kern w:val="0"/>
          <w:sz w:val="32"/>
          <w:szCs w:val="32"/>
          <w14:textFill>
            <w14:solidFill>
              <w14:schemeClr w14:val="tx1"/>
            </w14:solidFill>
          </w14:textFill>
        </w:rPr>
        <w:t>；提供食物的有</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35</w:t>
      </w:r>
      <w:r>
        <w:rPr>
          <w:rFonts w:hint="eastAsia" w:ascii="仿宋" w:hAnsi="仿宋" w:eastAsia="仿宋" w:cs="仿宋"/>
          <w:b w:val="0"/>
          <w:bCs/>
          <w:color w:val="000000" w:themeColor="text1"/>
          <w:kern w:val="0"/>
          <w:sz w:val="32"/>
          <w:szCs w:val="32"/>
          <w14:textFill>
            <w14:solidFill>
              <w14:schemeClr w14:val="tx1"/>
            </w14:solidFill>
          </w14:textFill>
        </w:rPr>
        <w:t>人，提供住宿的有</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35</w:t>
      </w:r>
      <w:r>
        <w:rPr>
          <w:rFonts w:hint="eastAsia" w:ascii="仿宋" w:hAnsi="仿宋" w:eastAsia="仿宋" w:cs="仿宋"/>
          <w:b w:val="0"/>
          <w:bCs/>
          <w:color w:val="000000" w:themeColor="text1"/>
          <w:kern w:val="0"/>
          <w:sz w:val="32"/>
          <w:szCs w:val="32"/>
          <w14:textFill>
            <w14:solidFill>
              <w14:schemeClr w14:val="tx1"/>
            </w14:solidFill>
          </w14:textFill>
        </w:rPr>
        <w:t>人，提供通讯的有</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34</w:t>
      </w:r>
      <w:r>
        <w:rPr>
          <w:rFonts w:hint="eastAsia" w:ascii="仿宋" w:hAnsi="仿宋" w:eastAsia="仿宋" w:cs="仿宋"/>
          <w:b w:val="0"/>
          <w:bCs/>
          <w:color w:val="000000" w:themeColor="text1"/>
          <w:kern w:val="0"/>
          <w:sz w:val="32"/>
          <w:szCs w:val="32"/>
          <w14:textFill>
            <w14:solidFill>
              <w14:schemeClr w14:val="tx1"/>
            </w14:solidFill>
          </w14:textFill>
        </w:rPr>
        <w:t>人，提供乘车凭证</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13</w:t>
      </w:r>
      <w:r>
        <w:rPr>
          <w:rFonts w:hint="eastAsia" w:ascii="仿宋" w:hAnsi="仿宋" w:eastAsia="仿宋" w:cs="仿宋"/>
          <w:b w:val="0"/>
          <w:bCs/>
          <w:color w:val="000000" w:themeColor="text1"/>
          <w:kern w:val="0"/>
          <w:sz w:val="32"/>
          <w:szCs w:val="32"/>
          <w14:textFill>
            <w14:solidFill>
              <w14:schemeClr w14:val="tx1"/>
            </w14:solidFill>
          </w14:textFill>
        </w:rPr>
        <w:t>人</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5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2)、“6.19救助开放日”活动收效良好。6月19日，为贯彻落实中央及省民政厅的决策部署，根据《民政厅关于开展全国救助管理机构“开放日”活动的通知》，我站开展以“</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大爱寻亲，温暖回家</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”为主题的救助管理和托养机构“开放日”活动。本次活动，通过悬挂条幅、发放宣传单、宣传图册和电视</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等</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宣传及现场活动，积极宣传加强和改进救助管理工作的主要内容和改革措施，提高救助政策公众知晓度。开放日活动当天，发放宣传资料</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500</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余份。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四、绩效管理存在的问题及下一步改进措施。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（一）资金管理及绩效存在的主要问题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1、绩效管理工作理念不足、宣导力度不够，</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各科室</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使用资金时对绩效目标概念认识不足。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2、缺乏资金管理监督和绩效评价专业技术人才，资金管理监督及绩效评价体系有待完善。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left="0" w:right="0" w:firstLine="645"/>
        <w:rPr>
          <w:rFonts w:hint="eastAsia" w:ascii="仿宋" w:hAnsi="仿宋" w:eastAsia="仿宋" w:cs="仿宋"/>
          <w:i w:val="0"/>
          <w:iCs w:val="0"/>
          <w:caps w:val="0"/>
          <w:color w:val="000000" w:themeColor="text1"/>
          <w:spacing w:val="0"/>
          <w:sz w:val="21"/>
          <w:szCs w:val="21"/>
          <w14:textFill>
            <w14:solidFill>
              <w14:schemeClr w14:val="tx1"/>
            </w14:solidFill>
          </w14:textFill>
        </w:rPr>
      </w:pPr>
      <w:r>
        <w:rPr>
          <w:rStyle w:val="7"/>
          <w:rFonts w:hint="eastAsia" w:ascii="仿宋" w:hAnsi="仿宋" w:eastAsia="仿宋" w:cs="仿宋"/>
          <w:b/>
          <w:bCs/>
          <w:i w:val="0"/>
          <w:iCs w:val="0"/>
          <w:caps w:val="0"/>
          <w:color w:val="000000" w:themeColor="text1"/>
          <w:spacing w:val="0"/>
          <w:sz w:val="31"/>
          <w:szCs w:val="31"/>
          <w:shd w:val="clear" w:fill="FFFFFF"/>
          <w14:textFill>
            <w14:solidFill>
              <w14:schemeClr w14:val="tx1"/>
            </w14:solidFill>
          </w14:textFill>
        </w:rPr>
        <w:t>（二）下一步改进措施</w:t>
      </w:r>
    </w:p>
    <w:p>
      <w:pPr>
        <w:keepNext w:val="0"/>
        <w:keepLines w:val="0"/>
        <w:widowControl/>
        <w:suppressLineNumbers w:val="0"/>
        <w:ind w:left="0" w:firstLine="640" w:firstLineChars="200"/>
        <w:outlineLvl w:val="0"/>
        <w:rPr>
          <w:rFonts w:hint="eastAsia" w:ascii="仿宋" w:hAnsi="仿宋" w:eastAsia="仿宋" w:cs="Times New Roman"/>
          <w:bCs/>
          <w:color w:val="000000"/>
          <w:kern w:val="0"/>
          <w:sz w:val="32"/>
          <w:szCs w:val="32"/>
        </w:rPr>
      </w:pPr>
      <w:r>
        <w:rPr>
          <w:rFonts w:hint="eastAsia" w:ascii="仿宋" w:hAnsi="仿宋" w:eastAsia="仿宋" w:cs="仿宋"/>
          <w:bCs/>
          <w:color w:val="000000"/>
          <w:kern w:val="0"/>
          <w:sz w:val="32"/>
          <w:szCs w:val="32"/>
        </w:rPr>
        <w:t>1、完善项目业务资料管理。树立绩效管理意识，强化绩效管理主体责任，建立目标明确、量化合理的绩效方案，逐步做到专项资金预算执行和绩效监管一体化。</w:t>
      </w:r>
    </w:p>
    <w:p>
      <w:pPr>
        <w:keepNext w:val="0"/>
        <w:keepLines w:val="0"/>
        <w:widowControl/>
        <w:suppressLineNumbers w:val="0"/>
        <w:ind w:left="0" w:firstLine="640" w:firstLineChars="200"/>
        <w:outlineLvl w:val="0"/>
        <w:rPr>
          <w:rFonts w:hint="eastAsia" w:ascii="仿宋" w:hAnsi="仿宋" w:eastAsia="仿宋" w:cs="Times New Roman"/>
          <w:bCs/>
          <w:color w:val="000000"/>
          <w:kern w:val="0"/>
          <w:sz w:val="32"/>
          <w:szCs w:val="32"/>
        </w:rPr>
      </w:pPr>
      <w:r>
        <w:rPr>
          <w:rFonts w:hint="eastAsia" w:ascii="仿宋" w:hAnsi="仿宋" w:eastAsia="仿宋" w:cs="仿宋"/>
          <w:bCs/>
          <w:color w:val="000000"/>
          <w:kern w:val="0"/>
          <w:sz w:val="32"/>
          <w:szCs w:val="32"/>
        </w:rPr>
        <w:t>2、规范资金管理。应严格按照预算计划安排使用项目资金，不属于项目资金使用范围的事项，一律不在其中列支。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right="0"/>
        <w:rPr>
          <w:rFonts w:ascii="仿宋" w:hAnsi="仿宋" w:eastAsia="仿宋" w:cs="仿宋"/>
          <w:i w:val="0"/>
          <w:iCs w:val="0"/>
          <w:caps w:val="0"/>
          <w:color w:val="000000" w:themeColor="text1"/>
          <w:spacing w:val="0"/>
          <w:sz w:val="31"/>
          <w:szCs w:val="31"/>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20" w:lineRule="atLeast"/>
        <w:ind w:right="0"/>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pP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附件：202</w:t>
      </w:r>
      <w:r>
        <w:rPr>
          <w:rFonts w:hint="eastAsia" w:ascii="仿宋" w:hAnsi="仿宋" w:eastAsia="仿宋" w:cs="仿宋"/>
          <w:i w:val="0"/>
          <w:iCs w:val="0"/>
          <w:caps w:val="0"/>
          <w:color w:val="000000" w:themeColor="text1"/>
          <w:spacing w:val="0"/>
          <w:sz w:val="31"/>
          <w:szCs w:val="31"/>
          <w:shd w:val="clear" w:fill="FFFFFF"/>
          <w:lang w:val="en-US" w:eastAsia="zh-CN"/>
          <w14:textFill>
            <w14:solidFill>
              <w14:schemeClr w14:val="tx1"/>
            </w14:solidFill>
          </w14:textFill>
        </w:rPr>
        <w:t>2</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年度部门整体支出绩效自评表</w:t>
      </w:r>
    </w:p>
    <w:p>
      <w:pPr>
        <w:keepNext w:val="0"/>
        <w:keepLines w:val="0"/>
        <w:widowControl/>
        <w:suppressLineNumbers w:val="0"/>
        <w:shd w:val="clear"/>
        <w:jc w:val="center"/>
        <w:rPr>
          <w:rFonts w:hint="default" w:ascii="方正小标宋简体" w:hAnsi="方正小标宋简体" w:eastAsia="方正小标宋简体" w:cs="方正小标宋简体"/>
          <w:color w:val="000000" w:themeColor="text1"/>
          <w:kern w:val="0"/>
          <w:sz w:val="32"/>
          <w:szCs w:val="32"/>
          <w14:textFill>
            <w14:solidFill>
              <w14:schemeClr w14:val="tx1"/>
            </w14:solidFill>
          </w14:textFill>
        </w:rPr>
      </w:pPr>
    </w:p>
    <w:p>
      <w:pPr>
        <w:keepNext w:val="0"/>
        <w:keepLines w:val="0"/>
        <w:widowControl/>
        <w:suppressLineNumbers w:val="0"/>
        <w:shd w:val="clear"/>
        <w:jc w:val="center"/>
        <w:rPr>
          <w:rFonts w:hint="default" w:ascii="方正小标宋简体" w:hAnsi="方正小标宋简体" w:eastAsia="方正小标宋简体" w:cs="方正小标宋简体"/>
          <w:kern w:val="0"/>
          <w:sz w:val="32"/>
          <w:szCs w:val="32"/>
        </w:rPr>
      </w:pPr>
    </w:p>
    <w:p>
      <w:pPr>
        <w:keepNext w:val="0"/>
        <w:keepLines w:val="0"/>
        <w:widowControl/>
        <w:suppressLineNumbers w:val="0"/>
        <w:shd w:val="clear"/>
        <w:jc w:val="center"/>
        <w:rPr>
          <w:rFonts w:hint="default" w:ascii="方正小标宋简体" w:hAnsi="方正小标宋简体" w:eastAsia="方正小标宋简体" w:cs="方正小标宋简体"/>
          <w:kern w:val="0"/>
          <w:sz w:val="32"/>
          <w:szCs w:val="32"/>
        </w:rPr>
      </w:pPr>
    </w:p>
    <w:p>
      <w:pPr>
        <w:keepNext w:val="0"/>
        <w:keepLines w:val="0"/>
        <w:widowControl/>
        <w:suppressLineNumbers w:val="0"/>
        <w:shd w:val="clear"/>
        <w:jc w:val="center"/>
        <w:rPr>
          <w:rFonts w:hint="default" w:ascii="方正小标宋简体" w:hAnsi="方正小标宋简体" w:eastAsia="方正小标宋简体" w:cs="方正小标宋简体"/>
          <w:kern w:val="0"/>
          <w:sz w:val="32"/>
          <w:szCs w:val="32"/>
        </w:rPr>
      </w:pPr>
    </w:p>
    <w:p>
      <w:pPr>
        <w:keepNext w:val="0"/>
        <w:keepLines w:val="0"/>
        <w:widowControl/>
        <w:suppressLineNumbers w:val="0"/>
        <w:shd w:val="clear"/>
        <w:jc w:val="center"/>
        <w:rPr>
          <w:rFonts w:hint="default" w:ascii="方正小标宋简体" w:hAnsi="方正小标宋简体" w:eastAsia="方正小标宋简体" w:cs="方正小标宋简体"/>
          <w:kern w:val="0"/>
          <w:sz w:val="32"/>
          <w:szCs w:val="32"/>
        </w:rPr>
      </w:pPr>
    </w:p>
    <w:p>
      <w:pPr>
        <w:keepNext w:val="0"/>
        <w:keepLines w:val="0"/>
        <w:widowControl/>
        <w:suppressLineNumbers w:val="0"/>
        <w:shd w:val="clear"/>
        <w:jc w:val="center"/>
        <w:rPr>
          <w:rFonts w:hint="default" w:ascii="方正小标宋简体" w:hAnsi="方正小标宋简体" w:eastAsia="方正小标宋简体" w:cs="方正小标宋简体"/>
          <w:kern w:val="0"/>
          <w:sz w:val="32"/>
          <w:szCs w:val="32"/>
        </w:rPr>
      </w:pPr>
    </w:p>
    <w:p>
      <w:pPr>
        <w:pStyle w:val="2"/>
        <w:ind w:left="0" w:leftChars="0" w:firstLine="0" w:firstLineChars="0"/>
        <w:rPr>
          <w:rFonts w:hint="default" w:ascii="方正小标宋简体" w:hAnsi="方正小标宋简体" w:eastAsia="方正小标宋简体" w:cs="方正小标宋简体"/>
          <w:kern w:val="0"/>
          <w:sz w:val="32"/>
          <w:szCs w:val="32"/>
        </w:rPr>
      </w:pPr>
    </w:p>
    <w:p>
      <w:pPr>
        <w:keepNext w:val="0"/>
        <w:keepLines w:val="0"/>
        <w:widowControl/>
        <w:suppressLineNumbers w:val="0"/>
        <w:shd w:val="clear"/>
        <w:jc w:val="both"/>
        <w:rPr>
          <w:rFonts w:hint="default" w:ascii="方正小标宋简体" w:hAnsi="方正小标宋简体" w:eastAsia="方正小标宋简体" w:cs="方正小标宋简体"/>
          <w:kern w:val="0"/>
          <w:sz w:val="32"/>
          <w:szCs w:val="32"/>
        </w:rPr>
      </w:pPr>
    </w:p>
    <w:p>
      <w:pPr>
        <w:rPr>
          <w:rFonts w:hint="default" w:ascii="方正小标宋简体" w:hAnsi="方正小标宋简体" w:eastAsia="方正小标宋简体" w:cs="方正小标宋简体"/>
          <w:kern w:val="0"/>
          <w:sz w:val="32"/>
          <w:szCs w:val="32"/>
        </w:rPr>
      </w:pPr>
      <w:r>
        <w:rPr>
          <w:rFonts w:hint="default" w:ascii="方正小标宋简体" w:hAnsi="方正小标宋简体" w:eastAsia="方正小标宋简体" w:cs="方正小标宋简体"/>
          <w:kern w:val="0"/>
          <w:sz w:val="32"/>
          <w:szCs w:val="32"/>
        </w:rPr>
        <w:br w:type="page"/>
      </w:r>
    </w:p>
    <w:p>
      <w:pPr>
        <w:keepNext w:val="0"/>
        <w:keepLines w:val="0"/>
        <w:widowControl/>
        <w:suppressLineNumbers w:val="0"/>
        <w:shd w:val="clear"/>
        <w:jc w:val="center"/>
        <w:rPr>
          <w:rFonts w:hint="default" w:ascii="方正小标宋简体" w:hAnsi="宋体" w:eastAsia="方正小标宋简体" w:cs="Times New Roman"/>
          <w:kern w:val="0"/>
          <w:sz w:val="32"/>
          <w:szCs w:val="32"/>
        </w:rPr>
      </w:pPr>
      <w:r>
        <w:rPr>
          <w:rFonts w:hint="default" w:ascii="方正小标宋简体" w:hAnsi="方正小标宋简体" w:eastAsia="方正小标宋简体" w:cs="方正小标宋简体"/>
          <w:kern w:val="0"/>
          <w:sz w:val="32"/>
          <w:szCs w:val="32"/>
        </w:rPr>
        <w:t>202</w:t>
      </w:r>
      <w:r>
        <w:rPr>
          <w:rFonts w:hint="eastAsia" w:ascii="方正小标宋简体" w:hAnsi="方正小标宋简体" w:eastAsia="方正小标宋简体" w:cs="方正小标宋简体"/>
          <w:kern w:val="0"/>
          <w:sz w:val="32"/>
          <w:szCs w:val="32"/>
          <w:lang w:val="en-US" w:eastAsia="zh-CN"/>
        </w:rPr>
        <w:t>2</w:t>
      </w:r>
      <w:r>
        <w:rPr>
          <w:rFonts w:hint="default" w:ascii="方正小标宋简体" w:hAnsi="方正小标宋简体" w:eastAsia="方正小标宋简体" w:cs="方正小标宋简体"/>
          <w:kern w:val="0"/>
          <w:sz w:val="32"/>
          <w:szCs w:val="32"/>
        </w:rPr>
        <w:t>年度蔡甸区</w:t>
      </w:r>
      <w:r>
        <w:rPr>
          <w:rFonts w:hint="eastAsia" w:ascii="方正小标宋简体" w:hAnsi="方正小标宋简体" w:eastAsia="方正小标宋简体" w:cs="方正小标宋简体"/>
          <w:kern w:val="0"/>
          <w:sz w:val="32"/>
          <w:szCs w:val="32"/>
          <w:lang w:val="en-US" w:eastAsia="zh-CN"/>
        </w:rPr>
        <w:t>救助管理站</w:t>
      </w:r>
      <w:r>
        <w:rPr>
          <w:rFonts w:hint="default" w:ascii="方正小标宋简体" w:hAnsi="方正小标宋简体" w:eastAsia="方正小标宋简体" w:cs="方正小标宋简体"/>
          <w:kern w:val="0"/>
          <w:sz w:val="32"/>
          <w:szCs w:val="32"/>
        </w:rPr>
        <w:t>部门整体绩效自评表</w:t>
      </w:r>
    </w:p>
    <w:p>
      <w:pPr>
        <w:keepNext w:val="0"/>
        <w:keepLines w:val="0"/>
        <w:widowControl/>
        <w:suppressLineNumbers w:val="0"/>
        <w:shd w:val="clear"/>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shd w:val="clear"/>
        <w:jc w:val="left"/>
        <w:rPr>
          <w:rFonts w:hint="default" w:ascii="宋体" w:hAnsi="宋体" w:eastAsia="宋体" w:cs="Times New Roman"/>
          <w:kern w:val="0"/>
          <w:sz w:val="48"/>
          <w:szCs w:val="48"/>
          <w:lang w:val="en-US" w:eastAsia="zh-CN"/>
        </w:rPr>
      </w:pPr>
      <w:r>
        <w:rPr>
          <w:rFonts w:hint="eastAsia" w:ascii="宋体" w:hAnsi="宋体" w:eastAsia="宋体" w:cs="宋体"/>
          <w:kern w:val="0"/>
          <w:sz w:val="28"/>
          <w:szCs w:val="28"/>
        </w:rPr>
        <w:t>单位名称：</w:t>
      </w:r>
      <w:r>
        <w:rPr>
          <w:rFonts w:hint="eastAsia" w:ascii="宋体" w:hAnsi="宋体" w:eastAsia="宋体" w:cs="宋体"/>
          <w:kern w:val="0"/>
          <w:sz w:val="28"/>
          <w:szCs w:val="28"/>
          <w:lang w:val="en-US" w:eastAsia="zh-CN"/>
        </w:rPr>
        <w:t>蔡甸区救助管理站</w:t>
      </w:r>
      <w:r>
        <w:rPr>
          <w:rFonts w:hint="eastAsia" w:ascii="宋体" w:hAnsi="宋体" w:eastAsia="宋体" w:cs="楷体_GB2312"/>
          <w:kern w:val="0"/>
          <w:sz w:val="28"/>
          <w:szCs w:val="28"/>
        </w:rPr>
        <w:t xml:space="preserve">               </w:t>
      </w:r>
      <w:r>
        <w:rPr>
          <w:rFonts w:hint="eastAsia" w:ascii="宋体" w:hAnsi="宋体" w:eastAsia="宋体" w:cs="宋体"/>
          <w:kern w:val="0"/>
          <w:sz w:val="28"/>
          <w:szCs w:val="28"/>
        </w:rPr>
        <w:t>填报日期：2022.3.</w:t>
      </w:r>
      <w:r>
        <w:rPr>
          <w:rFonts w:hint="eastAsia" w:ascii="宋体" w:hAnsi="宋体" w:eastAsia="宋体" w:cs="宋体"/>
          <w:kern w:val="0"/>
          <w:sz w:val="28"/>
          <w:szCs w:val="28"/>
          <w:lang w:val="en-US" w:eastAsia="zh-CN"/>
        </w:rPr>
        <w:t>20</w:t>
      </w:r>
    </w:p>
    <w:tbl>
      <w:tblPr>
        <w:tblStyle w:val="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7"/>
        <w:gridCol w:w="696"/>
        <w:gridCol w:w="1122"/>
        <w:gridCol w:w="402"/>
        <w:gridCol w:w="1377"/>
        <w:gridCol w:w="1440"/>
        <w:gridCol w:w="517"/>
        <w:gridCol w:w="1186"/>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单位名称</w:t>
            </w:r>
          </w:p>
        </w:tc>
        <w:tc>
          <w:tcPr>
            <w:tcW w:w="817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default" w:ascii="宋体" w:hAnsi="宋体" w:eastAsia="宋体" w:cs="Times New Roman"/>
                <w:kern w:val="0"/>
                <w:sz w:val="21"/>
                <w:szCs w:val="21"/>
                <w:lang w:val="en-US" w:eastAsia="zh-CN"/>
              </w:rPr>
            </w:pPr>
            <w:r>
              <w:rPr>
                <w:rFonts w:hint="eastAsia" w:ascii="宋体" w:hAnsi="宋体" w:eastAsia="宋体" w:cs="宋体"/>
                <w:kern w:val="0"/>
                <w:sz w:val="21"/>
                <w:szCs w:val="21"/>
                <w:lang w:val="en-US" w:eastAsia="zh-CN"/>
              </w:rPr>
              <w:t>武汉市蔡甸区救助管理站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基本支出总额</w:t>
            </w:r>
          </w:p>
        </w:tc>
        <w:tc>
          <w:tcPr>
            <w:tcW w:w="29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lang w:val="en-US" w:eastAsia="zh-CN"/>
              </w:rPr>
              <w:t>30.22</w:t>
            </w:r>
            <w:r>
              <w:rPr>
                <w:rFonts w:hint="eastAsia" w:ascii="宋体" w:hAnsi="宋体" w:eastAsia="宋体" w:cs="宋体"/>
                <w:kern w:val="0"/>
                <w:sz w:val="21"/>
                <w:szCs w:val="21"/>
              </w:rPr>
              <w:t>万元</w:t>
            </w:r>
          </w:p>
        </w:tc>
        <w:tc>
          <w:tcPr>
            <w:tcW w:w="1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项目支出总额</w:t>
            </w:r>
          </w:p>
        </w:tc>
        <w:tc>
          <w:tcPr>
            <w:tcW w:w="33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lang w:val="en-US" w:eastAsia="zh-CN"/>
              </w:rPr>
              <w:t>80.13</w:t>
            </w:r>
            <w:r>
              <w:rPr>
                <w:rFonts w:hint="eastAsia" w:ascii="宋体" w:hAnsi="宋体" w:eastAsia="宋体" w:cs="宋体"/>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52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预算执行情况（万元）</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21"/>
                <w:szCs w:val="21"/>
              </w:rPr>
            </w:pPr>
            <w:r>
              <w:rPr>
                <w:rFonts w:hint="eastAsia" w:ascii="宋体" w:hAnsi="宋体" w:eastAsia="宋体" w:cs="宋体"/>
                <w:kern w:val="0"/>
                <w:sz w:val="21"/>
                <w:szCs w:val="21"/>
              </w:rPr>
              <w:t>预算数（A）</w:t>
            </w:r>
          </w:p>
        </w:tc>
        <w:tc>
          <w:tcPr>
            <w:tcW w:w="1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21"/>
                <w:szCs w:val="21"/>
              </w:rPr>
            </w:pPr>
            <w:r>
              <w:rPr>
                <w:rFonts w:hint="eastAsia" w:ascii="宋体" w:hAnsi="宋体" w:eastAsia="宋体" w:cs="宋体"/>
                <w:kern w:val="0"/>
                <w:sz w:val="21"/>
                <w:szCs w:val="21"/>
              </w:rPr>
              <w:t>执行数（B）</w:t>
            </w:r>
          </w:p>
        </w:tc>
        <w:tc>
          <w:tcPr>
            <w:tcW w:w="33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523" w:type="dxa"/>
            <w:gridSpan w:val="2"/>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部门整体支出总额</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kern w:val="0"/>
                <w:sz w:val="21"/>
                <w:szCs w:val="21"/>
                <w:lang w:val="en-US" w:eastAsia="zh-CN"/>
              </w:rPr>
              <w:t>110.36</w:t>
            </w:r>
            <w:r>
              <w:rPr>
                <w:rFonts w:hint="eastAsia" w:ascii="宋体" w:hAnsi="宋体" w:eastAsia="宋体" w:cs="宋体"/>
                <w:kern w:val="0"/>
                <w:sz w:val="21"/>
                <w:szCs w:val="21"/>
              </w:rPr>
              <w:t>万元</w:t>
            </w:r>
          </w:p>
        </w:tc>
        <w:tc>
          <w:tcPr>
            <w:tcW w:w="1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lang w:val="en-US" w:eastAsia="zh-CN"/>
              </w:rPr>
              <w:t>110.36</w:t>
            </w:r>
            <w:r>
              <w:rPr>
                <w:rFonts w:hint="eastAsia" w:ascii="宋体" w:hAnsi="宋体" w:eastAsia="宋体" w:cs="宋体"/>
                <w:kern w:val="0"/>
                <w:sz w:val="21"/>
                <w:szCs w:val="21"/>
              </w:rPr>
              <w:t>万元</w:t>
            </w:r>
          </w:p>
        </w:tc>
        <w:tc>
          <w:tcPr>
            <w:tcW w:w="33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jc w:val="center"/>
        </w:trPr>
        <w:tc>
          <w:tcPr>
            <w:tcW w:w="97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rPr>
                <w:rFonts w:hint="eastAsia" w:ascii="宋体" w:hAnsi="宋体" w:eastAsia="宋体" w:cs="仿宋_GB2312"/>
                <w:kern w:val="0"/>
                <w:sz w:val="21"/>
                <w:szCs w:val="21"/>
              </w:rPr>
            </w:pPr>
            <w:r>
              <w:rPr>
                <w:rFonts w:hint="eastAsia" w:ascii="宋体" w:hAnsi="宋体" w:eastAsia="宋体" w:cs="宋体"/>
                <w:kern w:val="0"/>
                <w:sz w:val="18"/>
                <w:szCs w:val="18"/>
              </w:rPr>
              <w:t>年度目标：</w:t>
            </w:r>
            <w:r>
              <w:rPr>
                <w:rFonts w:hint="eastAsia" w:ascii="宋体" w:hAnsi="宋体" w:eastAsia="宋体" w:cs="宋体"/>
                <w:kern w:val="0"/>
                <w:sz w:val="18"/>
                <w:szCs w:val="18"/>
                <w:lang w:val="en-US" w:eastAsia="zh-CN"/>
              </w:rPr>
              <w:t>一</w:t>
            </w:r>
            <w:r>
              <w:rPr>
                <w:rFonts w:hint="eastAsia" w:ascii="宋体" w:hAnsi="宋体" w:eastAsia="宋体" w:cs="宋体"/>
                <w:kern w:val="0"/>
                <w:sz w:val="18"/>
                <w:szCs w:val="18"/>
              </w:rPr>
              <w:t>、全面提高救助工作人员服务水平和能力，为救助对象提供更专业的救助引导、心理疏导，让救助对象能把救助站当家一样敢说想说自己的困境；</w:t>
            </w:r>
            <w:r>
              <w:rPr>
                <w:rFonts w:hint="eastAsia" w:ascii="宋体" w:hAnsi="宋体" w:eastAsia="宋体" w:cs="宋体"/>
                <w:kern w:val="0"/>
                <w:sz w:val="18"/>
                <w:szCs w:val="18"/>
                <w:lang w:val="en-US" w:eastAsia="zh-CN"/>
              </w:rPr>
              <w:t>二</w:t>
            </w:r>
            <w:r>
              <w:rPr>
                <w:rFonts w:hint="eastAsia" w:ascii="宋体" w:hAnsi="宋体" w:eastAsia="宋体" w:cs="宋体"/>
                <w:kern w:val="0"/>
                <w:sz w:val="18"/>
                <w:szCs w:val="18"/>
              </w:rPr>
              <w:t>、力争创新，加大救助工作宣传力度，通过设立路面指示牌、广播电台等多种形式让群众了解救助站工作职能，让更多人参与到街面困难群体的帮扶中，使救助对象得到更快更准的救助服务；</w:t>
            </w:r>
            <w:r>
              <w:rPr>
                <w:rFonts w:hint="eastAsia" w:ascii="宋体" w:hAnsi="宋体" w:eastAsia="宋体" w:cs="宋体"/>
                <w:kern w:val="0"/>
                <w:sz w:val="18"/>
                <w:szCs w:val="18"/>
                <w:lang w:val="en-US" w:eastAsia="zh-CN"/>
              </w:rPr>
              <w:t>三</w:t>
            </w:r>
            <w:r>
              <w:rPr>
                <w:rFonts w:hint="eastAsia" w:ascii="宋体" w:hAnsi="宋体" w:eastAsia="宋体" w:cs="宋体"/>
                <w:kern w:val="0"/>
                <w:sz w:val="18"/>
                <w:szCs w:val="18"/>
              </w:rPr>
              <w:t>、持续并加强对托养机构的监管，进一步深入和精神障碍类救助对象的交流沟通，加大身份户籍信息查询力度，最快速度让滞留的受助对象回归家庭，尽早跟家人团聚；</w:t>
            </w:r>
            <w:r>
              <w:rPr>
                <w:rFonts w:hint="eastAsia" w:ascii="宋体" w:hAnsi="宋体" w:eastAsia="宋体" w:cs="宋体"/>
                <w:kern w:val="0"/>
                <w:sz w:val="18"/>
                <w:szCs w:val="18"/>
                <w:lang w:val="en-US" w:eastAsia="zh-CN"/>
              </w:rPr>
              <w:t>四</w:t>
            </w:r>
            <w:r>
              <w:rPr>
                <w:rFonts w:hint="eastAsia" w:ascii="宋体" w:hAnsi="宋体" w:eastAsia="宋体" w:cs="宋体"/>
                <w:kern w:val="0"/>
                <w:sz w:val="18"/>
                <w:szCs w:val="18"/>
              </w:rPr>
              <w:t>、落实“寒冬送暖”“夏日送清凉”及日常街面巡查的救助活动，确保流浪乞讨救助对象的安全，维护社会稳定；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27" w:type="dxa"/>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4"/>
                <w:szCs w:val="24"/>
              </w:rPr>
            </w:pPr>
            <w:r>
              <w:rPr>
                <w:rFonts w:hint="eastAsia" w:ascii="宋体" w:hAnsi="宋体" w:eastAsia="宋体" w:cs="宋体"/>
                <w:kern w:val="0"/>
                <w:sz w:val="24"/>
                <w:szCs w:val="24"/>
              </w:rPr>
              <w:t>年度绩效目标完成情况</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一级指标</w:t>
            </w: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二级指标</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三级指标</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21"/>
                <w:szCs w:val="21"/>
              </w:rPr>
            </w:pPr>
            <w:r>
              <w:rPr>
                <w:rFonts w:hint="eastAsia" w:ascii="宋体" w:hAnsi="宋体" w:eastAsia="宋体" w:cs="宋体"/>
                <w:kern w:val="0"/>
                <w:sz w:val="21"/>
                <w:szCs w:val="21"/>
              </w:rPr>
              <w:t>年初目标值</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产出指标</w:t>
            </w:r>
          </w:p>
        </w:tc>
        <w:tc>
          <w:tcPr>
            <w:tcW w:w="152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数量指标</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流浪乞讨救助人次</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lang w:eastAsia="zh-CN"/>
              </w:rPr>
            </w:pPr>
            <w:r>
              <w:rPr>
                <w:rFonts w:hint="eastAsia" w:ascii="宋体" w:hAnsi="宋体" w:eastAsia="宋体" w:cs="宋体"/>
                <w:kern w:val="0"/>
                <w:sz w:val="21"/>
                <w:szCs w:val="21"/>
                <w:lang w:val="en-US" w:eastAsia="zh-CN"/>
              </w:rPr>
              <w:t>100人次</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default" w:ascii="宋体" w:hAnsi="宋体" w:eastAsia="宋体" w:cs="Times New Roman"/>
                <w:kern w:val="0"/>
                <w:sz w:val="21"/>
                <w:szCs w:val="21"/>
                <w:lang w:val="en-US" w:eastAsia="zh-CN"/>
              </w:rPr>
            </w:pPr>
            <w:r>
              <w:rPr>
                <w:rFonts w:hint="eastAsia" w:ascii="宋体" w:hAnsi="宋体" w:eastAsia="宋体" w:cs="宋体"/>
                <w:kern w:val="0"/>
                <w:sz w:val="21"/>
                <w:szCs w:val="21"/>
                <w:lang w:val="en-US" w:eastAsia="zh-CN"/>
              </w:rPr>
              <w:t>38人次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1524" w:type="dxa"/>
            <w:gridSpan w:val="2"/>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质量指标</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街面流浪乞讨人员死亡率</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lang w:val="en-US" w:eastAsia="zh-CN"/>
              </w:rPr>
              <w:t>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lang w:eastAsia="zh-CN"/>
              </w:rPr>
            </w:pPr>
            <w:r>
              <w:rPr>
                <w:rFonts w:hint="eastAsia" w:ascii="宋体" w:hAnsi="宋体" w:eastAsia="宋体" w:cs="宋体"/>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1524" w:type="dxa"/>
            <w:gridSpan w:val="2"/>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救助服务质量大提升召开联席会议</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default" w:ascii="宋体" w:hAnsi="宋体" w:eastAsia="宋体" w:cs="Times New Roman"/>
                <w:kern w:val="0"/>
                <w:sz w:val="21"/>
                <w:szCs w:val="21"/>
                <w:lang w:val="en-US" w:eastAsia="zh-CN"/>
              </w:rPr>
            </w:pPr>
            <w:r>
              <w:rPr>
                <w:rFonts w:hint="eastAsia" w:ascii="宋体" w:hAnsi="宋体" w:eastAsia="宋体" w:cs="宋体"/>
                <w:kern w:val="0"/>
                <w:sz w:val="21"/>
                <w:szCs w:val="21"/>
                <w:lang w:val="en-US" w:eastAsia="zh-CN"/>
              </w:rPr>
              <w:t>1次</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default" w:ascii="宋体" w:hAnsi="宋体" w:eastAsia="宋体" w:cs="Times New Roman"/>
                <w:kern w:val="0"/>
                <w:sz w:val="21"/>
                <w:szCs w:val="21"/>
                <w:lang w:val="en-US" w:eastAsia="zh-CN"/>
              </w:rPr>
            </w:pPr>
            <w:r>
              <w:rPr>
                <w:rFonts w:hint="eastAsia" w:ascii="宋体" w:hAnsi="宋体" w:eastAsia="宋体" w:cs="宋体"/>
                <w:kern w:val="0"/>
                <w:sz w:val="21"/>
                <w:szCs w:val="21"/>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1524" w:type="dxa"/>
            <w:gridSpan w:val="2"/>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患有疾病的流浪乞讨救助人员收治率</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100%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1524" w:type="dxa"/>
            <w:gridSpan w:val="2"/>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开展</w:t>
            </w:r>
            <w:r>
              <w:rPr>
                <w:rFonts w:hint="eastAsia" w:ascii="宋体" w:hAnsi="宋体" w:eastAsia="宋体" w:cs="宋体"/>
                <w:kern w:val="0"/>
                <w:sz w:val="21"/>
                <w:szCs w:val="21"/>
                <w:lang w:val="en-US" w:eastAsia="zh-CN"/>
              </w:rPr>
              <w:t>托养</w:t>
            </w:r>
            <w:r>
              <w:rPr>
                <w:rFonts w:hint="eastAsia" w:ascii="宋体" w:hAnsi="宋体" w:eastAsia="宋体" w:cs="宋体"/>
                <w:kern w:val="0"/>
                <w:sz w:val="21"/>
                <w:szCs w:val="21"/>
              </w:rPr>
              <w:t>机构安全隐患排查</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lang w:val="en-US" w:eastAsia="zh-CN"/>
              </w:rPr>
              <w:t>24</w:t>
            </w:r>
            <w:r>
              <w:rPr>
                <w:rFonts w:hint="eastAsia" w:ascii="宋体" w:hAnsi="宋体" w:eastAsia="宋体" w:cs="宋体"/>
                <w:kern w:val="0"/>
                <w:sz w:val="21"/>
                <w:szCs w:val="21"/>
              </w:rPr>
              <w:t>次</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lang w:val="en-US" w:eastAsia="zh-CN"/>
              </w:rPr>
              <w:t>24</w:t>
            </w:r>
            <w:r>
              <w:rPr>
                <w:rFonts w:hint="eastAsia" w:ascii="宋体" w:hAnsi="宋体" w:eastAsia="宋体" w:cs="宋体"/>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1524" w:type="dxa"/>
            <w:gridSpan w:val="2"/>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18"/>
                <w:szCs w:val="18"/>
              </w:rPr>
              <w:t>冬日送暖、夏季送清凉”覆盖率</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80%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vMerge w:val="continue"/>
            <w:tcBorders>
              <w:top w:val="nil"/>
              <w:left w:val="single" w:color="auto" w:sz="4" w:space="0"/>
              <w:bottom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时效指标</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18"/>
                <w:szCs w:val="18"/>
              </w:rPr>
              <w:t>流浪乞讨人员救助资金使用时间</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lang w:eastAsia="zh-CN"/>
              </w:rPr>
            </w:pPr>
            <w:r>
              <w:rPr>
                <w:rFonts w:hint="eastAsia" w:ascii="宋体" w:hAnsi="宋体" w:eastAsia="宋体" w:cs="宋体"/>
                <w:kern w:val="0"/>
                <w:sz w:val="21"/>
                <w:szCs w:val="21"/>
                <w:lang w:val="en-US" w:eastAsia="zh-CN"/>
              </w:rPr>
              <w:t>全年</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lang w:eastAsia="zh-CN"/>
              </w:rPr>
            </w:pPr>
            <w:r>
              <w:rPr>
                <w:rFonts w:hint="eastAsia" w:ascii="宋体" w:hAnsi="宋体" w:eastAsia="宋体" w:cs="宋体"/>
                <w:kern w:val="0"/>
                <w:sz w:val="21"/>
                <w:szCs w:val="21"/>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效益指标</w:t>
            </w:r>
          </w:p>
        </w:tc>
        <w:tc>
          <w:tcPr>
            <w:tcW w:w="152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宋体"/>
                <w:kern w:val="0"/>
                <w:sz w:val="21"/>
                <w:szCs w:val="21"/>
              </w:rPr>
              <w:t>社会效益指标</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16"/>
                <w:szCs w:val="16"/>
              </w:rPr>
              <w:t>确保生活无着流浪乞讨人员有饭吃、有衣穿、有医治等基本生活权益；</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default" w:ascii="宋体" w:hAnsi="宋体" w:eastAsia="宋体" w:cs="Times New Roman"/>
                <w:kern w:val="0"/>
                <w:sz w:val="21"/>
                <w:szCs w:val="21"/>
                <w:lang w:val="en-US" w:eastAsia="zh-CN"/>
              </w:rPr>
            </w:pPr>
            <w:r>
              <w:rPr>
                <w:rFonts w:hint="eastAsia" w:ascii="宋体" w:hAnsi="宋体" w:eastAsia="宋体" w:cs="宋体"/>
                <w:kern w:val="0"/>
                <w:sz w:val="21"/>
                <w:szCs w:val="21"/>
                <w:lang w:val="en-US" w:eastAsia="zh-CN"/>
              </w:rPr>
              <w:t>100%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82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hd w:val="clear"/>
              <w:jc w:val="both"/>
              <w:rPr>
                <w:rFonts w:hint="eastAsia" w:ascii="宋体" w:hAnsi="宋体" w:eastAsia="宋体" w:cs="仿宋_GB2312"/>
                <w:kern w:val="0"/>
                <w:sz w:val="21"/>
                <w:szCs w:val="21"/>
              </w:rPr>
            </w:pPr>
          </w:p>
        </w:tc>
        <w:tc>
          <w:tcPr>
            <w:tcW w:w="69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rPr>
                <w:rFonts w:hint="eastAsia" w:ascii="宋体" w:hAnsi="宋体" w:eastAsia="宋体" w:cs="仿宋_GB2312"/>
                <w:kern w:val="0"/>
                <w:sz w:val="21"/>
                <w:szCs w:val="21"/>
              </w:rPr>
            </w:pPr>
          </w:p>
        </w:tc>
        <w:tc>
          <w:tcPr>
            <w:tcW w:w="1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1"/>
                <w:szCs w:val="21"/>
              </w:rPr>
            </w:pPr>
            <w:r>
              <w:rPr>
                <w:rFonts w:hint="eastAsia" w:ascii="宋体" w:hAnsi="宋体" w:eastAsia="宋体" w:cs="Times New Roman"/>
                <w:kern w:val="0"/>
                <w:sz w:val="21"/>
                <w:szCs w:val="21"/>
              </w:rPr>
              <w:t>可持续影响指标</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21"/>
                <w:szCs w:val="21"/>
              </w:rPr>
            </w:pPr>
            <w:r>
              <w:rPr>
                <w:rFonts w:hint="eastAsia" w:ascii="宋体" w:hAnsi="宋体" w:eastAsia="宋体" w:cs="仿宋_GB2312"/>
                <w:kern w:val="0"/>
                <w:sz w:val="18"/>
                <w:szCs w:val="18"/>
              </w:rPr>
              <w:t>流浪乞讨救助对象基本生活权益</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default" w:ascii="宋体" w:hAnsi="宋体" w:eastAsia="宋体" w:cs="仿宋_GB2312"/>
                <w:kern w:val="0"/>
                <w:sz w:val="21"/>
                <w:szCs w:val="21"/>
                <w:lang w:val="en-US"/>
              </w:rPr>
            </w:pPr>
            <w:r>
              <w:rPr>
                <w:rFonts w:hint="eastAsia" w:ascii="宋体" w:hAnsi="宋体" w:eastAsia="宋体" w:cs="宋体"/>
                <w:kern w:val="0"/>
                <w:sz w:val="21"/>
                <w:szCs w:val="21"/>
                <w:lang w:val="en-US" w:eastAsia="zh-CN"/>
              </w:rPr>
              <w:t>100%保障</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21"/>
                <w:szCs w:val="21"/>
              </w:rPr>
            </w:pPr>
            <w:r>
              <w:rPr>
                <w:rFonts w:hint="eastAsia" w:ascii="宋体" w:hAnsi="宋体" w:eastAsia="宋体" w:cs="宋体"/>
                <w:kern w:val="0"/>
                <w:sz w:val="21"/>
                <w:szCs w:val="21"/>
                <w:lang w:val="en-US" w:eastAsia="zh-CN"/>
              </w:rPr>
              <w:t>100%保障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827" w:type="dxa"/>
            <w:vMerge w:val="continue"/>
            <w:tcBorders>
              <w:left w:val="single" w:color="auto" w:sz="4" w:space="0"/>
              <w:right w:val="single" w:color="auto" w:sz="4" w:space="0"/>
            </w:tcBorders>
            <w:shd w:val="clear" w:color="auto" w:fill="auto"/>
            <w:vAlign w:val="center"/>
          </w:tcPr>
          <w:p>
            <w:pPr>
              <w:shd w:val="clear"/>
              <w:rPr>
                <w:rFonts w:hint="default" w:ascii="Times New Roman" w:hAnsi="Times New Roman" w:cs="Times New Roman"/>
                <w:sz w:val="20"/>
                <w:szCs w:val="20"/>
              </w:rPr>
            </w:pPr>
          </w:p>
        </w:tc>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16"/>
                <w:szCs w:val="16"/>
              </w:rPr>
            </w:pPr>
            <w:r>
              <w:rPr>
                <w:rFonts w:hint="eastAsia" w:ascii="宋体" w:hAnsi="宋体" w:eastAsia="宋体" w:cs="仿宋_GB2312"/>
                <w:kern w:val="0"/>
                <w:sz w:val="16"/>
                <w:szCs w:val="16"/>
              </w:rPr>
              <w:t>满意度</w:t>
            </w:r>
          </w:p>
          <w:p>
            <w:pPr>
              <w:keepNext w:val="0"/>
              <w:keepLines w:val="0"/>
              <w:widowControl/>
              <w:suppressLineNumbers w:val="0"/>
              <w:shd w:val="clear"/>
              <w:jc w:val="center"/>
              <w:rPr>
                <w:rFonts w:hint="eastAsia" w:ascii="宋体" w:hAnsi="宋体" w:eastAsia="宋体" w:cs="仿宋_GB2312"/>
                <w:kern w:val="0"/>
                <w:sz w:val="16"/>
                <w:szCs w:val="16"/>
              </w:rPr>
            </w:pPr>
            <w:r>
              <w:rPr>
                <w:rFonts w:hint="eastAsia" w:ascii="宋体" w:hAnsi="宋体" w:eastAsia="宋体" w:cs="仿宋_GB2312"/>
                <w:kern w:val="0"/>
                <w:sz w:val="16"/>
                <w:szCs w:val="16"/>
              </w:rPr>
              <w:t>指标</w:t>
            </w:r>
          </w:p>
        </w:tc>
        <w:tc>
          <w:tcPr>
            <w:tcW w:w="152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16"/>
                <w:szCs w:val="16"/>
              </w:rPr>
            </w:pPr>
            <w:r>
              <w:rPr>
                <w:rFonts w:hint="eastAsia" w:ascii="宋体" w:hAnsi="宋体" w:eastAsia="宋体" w:cs="仿宋_GB2312"/>
                <w:kern w:val="0"/>
                <w:sz w:val="16"/>
                <w:szCs w:val="16"/>
              </w:rPr>
              <w:t>服务对象满意度指标</w:t>
            </w:r>
          </w:p>
        </w:tc>
        <w:tc>
          <w:tcPr>
            <w:tcW w:w="28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21"/>
                <w:szCs w:val="21"/>
              </w:rPr>
            </w:pPr>
            <w:r>
              <w:rPr>
                <w:rFonts w:hint="eastAsia" w:ascii="宋体" w:hAnsi="宋体" w:eastAsia="宋体" w:cs="仿宋_GB2312"/>
                <w:kern w:val="0"/>
                <w:sz w:val="21"/>
                <w:szCs w:val="21"/>
              </w:rPr>
              <w:t>救助对象满意度</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default" w:ascii="宋体" w:hAnsi="宋体" w:eastAsia="宋体" w:cs="仿宋_GB2312"/>
                <w:kern w:val="0"/>
                <w:sz w:val="21"/>
                <w:szCs w:val="21"/>
                <w:lang w:val="en-US" w:eastAsia="zh-CN"/>
              </w:rPr>
            </w:pPr>
            <w:r>
              <w:rPr>
                <w:rFonts w:hint="eastAsia" w:ascii="宋体" w:hAnsi="宋体" w:eastAsia="宋体" w:cs="宋体"/>
                <w:kern w:val="0"/>
                <w:sz w:val="21"/>
                <w:szCs w:val="21"/>
                <w:lang w:val="en-US" w:eastAsia="zh-CN"/>
              </w:rPr>
              <w:t>90%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仿宋_GB2312"/>
                <w:kern w:val="0"/>
                <w:sz w:val="21"/>
                <w:szCs w:val="21"/>
              </w:rPr>
            </w:pPr>
            <w:r>
              <w:rPr>
                <w:rFonts w:hint="eastAsia" w:ascii="宋体" w:hAnsi="宋体" w:eastAsia="宋体" w:cs="宋体"/>
                <w:kern w:val="0"/>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4"/>
                <w:szCs w:val="24"/>
              </w:rPr>
            </w:pPr>
            <w:r>
              <w:rPr>
                <w:rFonts w:hint="eastAsia" w:ascii="宋体" w:hAnsi="宋体" w:eastAsia="宋体" w:cs="宋体"/>
                <w:kern w:val="0"/>
                <w:sz w:val="15"/>
                <w:szCs w:val="15"/>
              </w:rPr>
              <w:t>偏差大或目标未完成原因分析</w:t>
            </w:r>
          </w:p>
        </w:tc>
        <w:tc>
          <w:tcPr>
            <w:tcW w:w="817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rPr>
                <w:rFonts w:hint="eastAsia" w:ascii="宋体" w:hAnsi="宋体" w:eastAsia="宋体" w:cs="Times New Roman"/>
                <w:kern w:val="0"/>
                <w:sz w:val="21"/>
                <w:szCs w:val="21"/>
              </w:rPr>
            </w:pPr>
            <w:r>
              <w:rPr>
                <w:rFonts w:hint="eastAsia" w:ascii="宋体" w:hAnsi="宋体" w:eastAsia="宋体" w:cs="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jc w:val="center"/>
        </w:trPr>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rPr>
                <w:rFonts w:hint="eastAsia" w:ascii="宋体" w:hAnsi="宋体" w:eastAsia="宋体" w:cs="Times New Roman"/>
                <w:kern w:val="0"/>
                <w:sz w:val="20"/>
                <w:szCs w:val="20"/>
              </w:rPr>
            </w:pPr>
            <w:r>
              <w:rPr>
                <w:rFonts w:hint="eastAsia" w:ascii="宋体" w:hAnsi="宋体" w:eastAsia="宋体" w:cs="宋体"/>
                <w:kern w:val="0"/>
                <w:sz w:val="20"/>
                <w:szCs w:val="20"/>
              </w:rPr>
              <w:t>改进措施及</w:t>
            </w:r>
          </w:p>
          <w:p>
            <w:pPr>
              <w:keepNext w:val="0"/>
              <w:keepLines w:val="0"/>
              <w:widowControl/>
              <w:suppressLineNumbers w:val="0"/>
              <w:shd w:val="clear"/>
              <w:jc w:val="center"/>
              <w:rPr>
                <w:rFonts w:hint="eastAsia" w:ascii="宋体" w:hAnsi="宋体" w:eastAsia="宋体" w:cs="Times New Roman"/>
                <w:kern w:val="0"/>
                <w:sz w:val="24"/>
                <w:szCs w:val="24"/>
              </w:rPr>
            </w:pPr>
            <w:r>
              <w:rPr>
                <w:rFonts w:hint="eastAsia" w:ascii="宋体" w:hAnsi="宋体" w:eastAsia="宋体" w:cs="宋体"/>
                <w:kern w:val="0"/>
                <w:sz w:val="20"/>
                <w:szCs w:val="20"/>
              </w:rPr>
              <w:t>结果应用方案</w:t>
            </w:r>
          </w:p>
        </w:tc>
        <w:tc>
          <w:tcPr>
            <w:tcW w:w="817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left"/>
              <w:rPr>
                <w:rFonts w:hint="eastAsia" w:ascii="宋体" w:hAnsi="宋体" w:eastAsia="宋体" w:cs="Times New Roman"/>
                <w:kern w:val="0"/>
                <w:sz w:val="24"/>
                <w:szCs w:val="24"/>
              </w:rPr>
            </w:pPr>
            <w:r>
              <w:rPr>
                <w:rFonts w:hint="eastAsia" w:ascii="宋体" w:hAnsi="宋体" w:eastAsia="宋体" w:cs="宋体"/>
                <w:kern w:val="0"/>
                <w:sz w:val="24"/>
                <w:szCs w:val="24"/>
              </w:rPr>
              <w:t>无</w:t>
            </w:r>
          </w:p>
        </w:tc>
      </w:tr>
    </w:tbl>
    <w:p>
      <w:pPr>
        <w:shd w:val="clear"/>
      </w:pP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495C3EC2"/>
    <w:rsid w:val="0AEC138A"/>
    <w:rsid w:val="0DC804DC"/>
    <w:rsid w:val="0E8A19E3"/>
    <w:rsid w:val="108A641C"/>
    <w:rsid w:val="495C3EC2"/>
    <w:rsid w:val="5A8B6A1B"/>
    <w:rsid w:val="615A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Body Text"/>
    <w:basedOn w:val="1"/>
    <w:qFormat/>
    <w:uiPriority w:val="0"/>
    <w:pPr>
      <w:spacing w:before="0" w:beforeAutospacing="0" w:after="0" w:afterAutospacing="0"/>
      <w:ind w:left="0" w:right="0"/>
      <w:jc w:val="left"/>
    </w:pPr>
    <w:rPr>
      <w:rFonts w:hint="default" w:ascii="宋体" w:hAnsi="宋体" w:eastAsia="仿宋_GB2312" w:cs="宋体"/>
      <w:kern w:val="0"/>
      <w:sz w:val="32"/>
      <w:szCs w:val="32"/>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3125</Words>
  <Characters>3302</Characters>
  <Lines>0</Lines>
  <Paragraphs>0</Paragraphs>
  <TotalTime>0</TotalTime>
  <ScaleCrop>false</ScaleCrop>
  <LinksUpToDate>false</LinksUpToDate>
  <CharactersWithSpaces>3344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2022-11-07T01:05:00Z</dcterms:created>
  <dc:creator>小小钟</dc:creator>
  <cp:lastModifiedBy>小小钟</cp:lastModifiedBy>
  <dcterms:modified xsi:type="dcterms:W3CDTF">2023-10-24T03:38:45Z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4209329A5915479AA8D56A923D0C7484_13</vt:lpwstr>
  </property>
</Properties>
</file>