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仿宋" w:hAnsi="仿宋" w:eastAsia="仿宋" w:cs="楷体_GB2312"/>
          <w:sz w:val="32"/>
          <w:szCs w:val="32"/>
        </w:rPr>
        <w:t>附件：项目自评表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农村留守儿童关爱保护工作经费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2023.2.15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农村留守儿童关爱保护工作经费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武汉市蔡甸区民政局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武汉市蔡甸区民政局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bookmarkStart w:id="0" w:name="_GoBack" w:colFirst="6" w:colLast="6"/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25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24.96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99.84%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25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24.96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99.84%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全区398名农村留守儿童、困境儿童开展慰问、走访活动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30次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35次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区级联席会及全区儿童福利主任培训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儿童福利工作覆盖率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default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社会效益指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群众对农村留守、困境儿童工作的知晓度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  <w:t>相关群体感受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民众满意度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2VhMGNhZDkyOTRjMGYwZTRiZjlmMWU5Yzc5YzgifQ=="/>
  </w:docVars>
  <w:rsids>
    <w:rsidRoot w:val="3E640018"/>
    <w:rsid w:val="0F3951FA"/>
    <w:rsid w:val="1EDA4E61"/>
    <w:rsid w:val="3E640018"/>
    <w:rsid w:val="3FE82DEA"/>
    <w:rsid w:val="61B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345</Characters>
  <Lines>0</Lines>
  <Paragraphs>0</Paragraphs>
  <TotalTime>208</TotalTime>
  <ScaleCrop>false</ScaleCrop>
  <LinksUpToDate>false</LinksUpToDate>
  <CharactersWithSpaces>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2022-03-28T06:50:00Z</dcterms:created>
  <dc:creator>leo徐</dc:creator>
  <cp:lastModifiedBy>leo徐</cp:lastModifiedBy>
  <dcterms:modified xsi:type="dcterms:W3CDTF">2023-02-15T07:16:57Z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6C091669E3944365BE9EC4D098281CAA</vt:lpwstr>
  </property>
</Properties>
</file>