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insoku/>
        <w:autoSpaceDE/>
        <w:autoSpaceDN/>
        <w:adjustRightInd/>
        <w:snapToGrid/>
        <w:spacing w:before="1" w:line="560" w:lineRule="exact"/>
        <w:ind w:left="1922" w:leftChars="-185" w:hanging="2310" w:hangingChars="700"/>
        <w:jc w:val="both"/>
        <w:textAlignment w:val="auto"/>
        <w:rPr>
          <w:rFonts w:ascii="黑体" w:hAnsi="黑体" w:eastAsia="黑体" w:cs="黑体"/>
          <w:color w:val="auto"/>
          <w:spacing w:val="5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pacing w:val="5"/>
          <w:sz w:val="32"/>
          <w:szCs w:val="32"/>
        </w:rPr>
        <w:t>附件2</w:t>
      </w:r>
    </w:p>
    <w:p>
      <w:pPr>
        <w:ind w:firstLine="1320" w:firstLineChars="300"/>
        <w:rPr>
          <w:rFonts w:ascii="方正小标宋_GBK" w:hAnsi="方正小标宋_GBK" w:eastAsia="方正小标宋_GBK" w:cs="方正小标宋_GBK"/>
          <w:color w:val="auto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</w:rPr>
        <w:t>指导老师及推荐医师填报说明</w:t>
      </w:r>
    </w:p>
    <w:p>
      <w:pPr>
        <w:spacing w:line="520" w:lineRule="exact"/>
        <w:ind w:firstLine="640" w:firstLineChars="200"/>
        <w:rPr>
          <w:rFonts w:ascii="仿宋_GB2312" w:hAnsi="Times New Roman" w:eastAsia="仿宋_GB2312" w:cs="仿宋_GB2312"/>
          <w:color w:val="auto"/>
          <w:sz w:val="32"/>
          <w:szCs w:val="32"/>
        </w:rPr>
      </w:pPr>
      <w:r>
        <w:rPr>
          <w:rFonts w:hint="eastAsia" w:ascii="仿宋_GB2312" w:hAnsi="Times New Roman" w:eastAsia="仿宋_GB2312" w:cs="仿宋_GB2312"/>
          <w:color w:val="auto"/>
          <w:sz w:val="32"/>
          <w:szCs w:val="32"/>
        </w:rPr>
        <w:t>以下内容主要描述指导老师、推荐医师所在</w:t>
      </w:r>
      <w:r>
        <w:rPr>
          <w:rFonts w:hint="eastAsia" w:ascii="仿宋_GB2312" w:hAnsi="Times New Roman" w:eastAsia="仿宋_GB2312" w:cs="仿宋_GB2312"/>
          <w:b/>
          <w:bCs/>
          <w:color w:val="auto"/>
          <w:sz w:val="32"/>
          <w:szCs w:val="32"/>
        </w:rPr>
        <w:t>医疗机构</w:t>
      </w:r>
      <w:r>
        <w:rPr>
          <w:rFonts w:hint="eastAsia" w:ascii="仿宋_GB2312" w:hAnsi="Times New Roman" w:eastAsia="仿宋_GB2312" w:cs="仿宋_GB2312"/>
          <w:color w:val="auto"/>
          <w:sz w:val="32"/>
          <w:szCs w:val="32"/>
        </w:rPr>
        <w:t>如何通过“湖北省卫生健康基础资源综合管理系统”进行人员信息填写，并使用“人员标签”功能批准相关人员以指导老师、推荐医师身份参与中医医术确有专长人员考核报名工作。</w:t>
      </w:r>
    </w:p>
    <w:p>
      <w:pPr>
        <w:spacing w:line="520" w:lineRule="exact"/>
        <w:ind w:firstLine="640" w:firstLineChars="200"/>
        <w:outlineLvl w:val="0"/>
        <w:rPr>
          <w:rFonts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一、账号获取</w:t>
      </w:r>
    </w:p>
    <w:p>
      <w:pPr>
        <w:spacing w:line="520" w:lineRule="exact"/>
        <w:ind w:firstLine="640" w:firstLineChars="200"/>
        <w:rPr>
          <w:rFonts w:ascii="仿宋_GB2312" w:hAnsi="Times New Roman" w:eastAsia="仿宋_GB2312" w:cs="仿宋_GB2312"/>
          <w:color w:val="auto"/>
          <w:sz w:val="32"/>
          <w:szCs w:val="32"/>
        </w:rPr>
      </w:pPr>
      <w:r>
        <w:rPr>
          <w:rFonts w:hint="eastAsia" w:ascii="仿宋_GB2312" w:hAnsi="Times New Roman" w:eastAsia="仿宋_GB2312" w:cs="仿宋_GB2312"/>
          <w:color w:val="auto"/>
          <w:sz w:val="32"/>
          <w:szCs w:val="32"/>
        </w:rPr>
        <w:t>“湖北省卫生健康基础资源综合管理系统”（以下简称“系统”）登录账号须联系上级卫健委获取。</w:t>
      </w:r>
    </w:p>
    <w:p>
      <w:pPr>
        <w:spacing w:line="520" w:lineRule="exact"/>
        <w:ind w:firstLine="640" w:firstLineChars="200"/>
        <w:outlineLvl w:val="0"/>
        <w:rPr>
          <w:rFonts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二、进入系统</w:t>
      </w:r>
    </w:p>
    <w:p>
      <w:pPr>
        <w:spacing w:line="52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如果医疗机构在使用互联网地址进入系统时提示“没有开通互联网访问权限”，说明账号目前仅支持卫生专网访问。如</w:t>
      </w:r>
      <w:r>
        <w:rPr>
          <w:rFonts w:hint="eastAsia" w:ascii="仿宋_GB2312" w:eastAsia="仿宋_GB2312"/>
          <w:color w:val="auto"/>
          <w:w w:val="95"/>
          <w:sz w:val="32"/>
          <w:szCs w:val="32"/>
        </w:rPr>
        <w:t>果需要使用互联网方式访问系统，请联系上级卫健单位进行开通</w:t>
      </w:r>
      <w:r>
        <w:rPr>
          <w:rFonts w:hint="eastAsia" w:ascii="仿宋_GB2312" w:eastAsia="仿宋_GB2312"/>
          <w:color w:val="auto"/>
          <w:sz w:val="32"/>
          <w:szCs w:val="32"/>
        </w:rPr>
        <w:t>。</w:t>
      </w:r>
    </w:p>
    <w:p>
      <w:pPr>
        <w:pStyle w:val="19"/>
        <w:kinsoku w:val="0"/>
        <w:autoSpaceDE w:val="0"/>
        <w:autoSpaceDN w:val="0"/>
        <w:adjustRightInd w:val="0"/>
        <w:snapToGrid w:val="0"/>
        <w:spacing w:line="520" w:lineRule="exact"/>
        <w:ind w:left="432" w:firstLine="0" w:firstLineChars="0"/>
        <w:textAlignment w:val="baseline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专网网址为</w:t>
      </w:r>
      <w:r>
        <w:rPr>
          <w:rFonts w:hint="eastAsia" w:ascii="仿宋_GB2312" w:eastAsia="仿宋_GB2312"/>
          <w:sz w:val="32"/>
          <w:szCs w:val="32"/>
        </w:rPr>
        <w:t>：http://88.7.129.120:21000/index</w:t>
      </w:r>
    </w:p>
    <w:p>
      <w:pPr>
        <w:pStyle w:val="19"/>
        <w:kinsoku w:val="0"/>
        <w:autoSpaceDE w:val="0"/>
        <w:autoSpaceDN w:val="0"/>
        <w:adjustRightInd w:val="0"/>
        <w:snapToGrid w:val="0"/>
        <w:spacing w:line="520" w:lineRule="exact"/>
        <w:ind w:left="432" w:firstLine="0" w:firstLineChars="0"/>
        <w:textAlignment w:val="baseline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互联网网址为</w:t>
      </w:r>
      <w:r>
        <w:rPr>
          <w:rFonts w:hint="eastAsia" w:ascii="仿宋_GB2312" w:eastAsia="仿宋_GB2312"/>
          <w:sz w:val="32"/>
          <w:szCs w:val="32"/>
        </w:rPr>
        <w:t>：https://zjwszy.hubeihmdc.cn:11001/</w:t>
      </w:r>
    </w:p>
    <w:p>
      <w:pPr>
        <w:ind w:firstLine="643" w:firstLineChars="200"/>
        <w:rPr>
          <w:rFonts w:ascii="仿宋_GB2312" w:eastAsia="仿宋_GB2312"/>
          <w:b/>
          <w:color w:val="auto"/>
          <w:sz w:val="32"/>
          <w:szCs w:val="32"/>
        </w:rPr>
      </w:pPr>
      <w:r>
        <w:rPr>
          <w:rFonts w:hint="eastAsia" w:ascii="仿宋_GB2312" w:eastAsia="仿宋_GB2312"/>
          <w:b/>
          <w:color w:val="auto"/>
          <w:sz w:val="32"/>
          <w:szCs w:val="32"/>
        </w:rPr>
        <w:t>2.1实名认证</w:t>
      </w:r>
    </w:p>
    <w:p>
      <w:pPr>
        <w:pStyle w:val="19"/>
        <w:kinsoku w:val="0"/>
        <w:autoSpaceDE w:val="0"/>
        <w:autoSpaceDN w:val="0"/>
        <w:adjustRightInd w:val="0"/>
        <w:snapToGrid w:val="0"/>
        <w:spacing w:line="520" w:lineRule="exact"/>
        <w:ind w:firstLine="605"/>
        <w:textAlignment w:val="baseline"/>
        <w:rPr>
          <w:rFonts w:ascii="仿宋_GB2312" w:eastAsia="仿宋_GB2312"/>
          <w:w w:val="95"/>
          <w:sz w:val="32"/>
          <w:szCs w:val="32"/>
        </w:rPr>
      </w:pPr>
      <w:r>
        <w:rPr>
          <w:rFonts w:hint="eastAsia" w:ascii="仿宋_GB2312" w:eastAsia="仿宋_GB2312"/>
          <w:w w:val="95"/>
          <w:sz w:val="32"/>
          <w:szCs w:val="32"/>
        </w:rPr>
        <w:t>用户第一次进入系统后需要进行实名认证操作，如图2</w:t>
      </w:r>
      <w:r>
        <w:rPr>
          <w:rFonts w:ascii="仿宋_GB2312" w:eastAsia="仿宋_GB2312"/>
          <w:w w:val="95"/>
          <w:sz w:val="32"/>
          <w:szCs w:val="32"/>
        </w:rPr>
        <w:t>-1</w:t>
      </w:r>
      <w:r>
        <w:rPr>
          <w:rFonts w:hint="eastAsia" w:ascii="仿宋_GB2312" w:eastAsia="仿宋_GB2312"/>
          <w:w w:val="95"/>
          <w:sz w:val="32"/>
          <w:szCs w:val="32"/>
        </w:rPr>
        <w:t>所示。</w:t>
      </w:r>
    </w:p>
    <w:p>
      <w:pPr>
        <w:spacing w:line="360" w:lineRule="auto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/>
          <w:color w:val="auto"/>
          <w:sz w:val="32"/>
          <w:szCs w:val="32"/>
        </w:rPr>
        <w:drawing>
          <wp:inline distT="0" distB="0" distL="0" distR="0">
            <wp:extent cx="5274310" cy="2557145"/>
            <wp:effectExtent l="0" t="0" r="2540" b="14605"/>
            <wp:docPr id="25" name="图片 25" descr="D:\Documents\WeChat Files\wxid_6qcdiuetmoqm22\FileStorage\Temp\1681811312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:\Documents\WeChat Files\wxid_6qcdiuetmoqm22\FileStorage\Temp\168181131228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/>
          <w:color w:val="auto"/>
        </w:rPr>
        <w:t>图2</w:t>
      </w:r>
      <w:r>
        <w:rPr>
          <w:color w:val="auto"/>
        </w:rPr>
        <w:t>-1</w:t>
      </w:r>
    </w:p>
    <w:p>
      <w:pPr>
        <w:spacing w:line="52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根据系统提示输入姓名，身份证件类别，证件号，手机号码并上传负责人身份证的正反面照片后点击“保存”键，并自动生成表格如图2</w:t>
      </w:r>
      <w:r>
        <w:rPr>
          <w:rFonts w:ascii="仿宋_GB2312" w:eastAsia="仿宋_GB2312"/>
          <w:color w:val="auto"/>
          <w:sz w:val="32"/>
          <w:szCs w:val="32"/>
        </w:rPr>
        <w:t>-2</w:t>
      </w:r>
      <w:r>
        <w:rPr>
          <w:rFonts w:hint="eastAsia" w:ascii="仿宋_GB2312" w:eastAsia="仿宋_GB2312"/>
          <w:color w:val="auto"/>
          <w:sz w:val="32"/>
          <w:szCs w:val="32"/>
        </w:rPr>
        <w:t>所示。</w:t>
      </w:r>
    </w:p>
    <w:p>
      <w:pPr>
        <w:spacing w:line="360" w:lineRule="auto"/>
        <w:rPr>
          <w:rFonts w:ascii="仿宋_GB2312" w:eastAsia="仿宋_GB2312"/>
          <w:color w:val="auto"/>
          <w:sz w:val="24"/>
          <w:szCs w:val="24"/>
        </w:rPr>
      </w:pPr>
      <w:r>
        <w:rPr>
          <w:rFonts w:ascii="仿宋_GB2312" w:eastAsia="仿宋_GB2312"/>
          <w:color w:val="auto"/>
          <w:sz w:val="24"/>
          <w:szCs w:val="24"/>
        </w:rPr>
        <w:drawing>
          <wp:inline distT="0" distB="0" distL="0" distR="0">
            <wp:extent cx="5274310" cy="2332990"/>
            <wp:effectExtent l="0" t="0" r="2540" b="10160"/>
            <wp:docPr id="26" name="图片 26" descr="D:\Documents\WeChat Files\wxid_6qcdiuetmoqm22\FileStorage\Temp\1681811484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:\Documents\WeChat Files\wxid_6qcdiuetmoqm22\FileStorage\Temp\168181148423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jc w:val="center"/>
        <w:rPr>
          <w:rFonts w:ascii="仿宋_GB2312" w:eastAsia="仿宋_GB2312"/>
          <w:color w:val="auto"/>
        </w:rPr>
      </w:pPr>
      <w:r>
        <w:rPr>
          <w:rFonts w:hint="eastAsia"/>
          <w:color w:val="auto"/>
        </w:rPr>
        <w:t>图2</w:t>
      </w:r>
      <w:r>
        <w:rPr>
          <w:color w:val="auto"/>
        </w:rPr>
        <w:t>-2</w:t>
      </w:r>
    </w:p>
    <w:p>
      <w:pPr>
        <w:spacing w:line="52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打印加盖医院人事部门章后扫描上传至系统界面右侧“审核材料”处并点击“提交证明材料”，审核通过后即可使用账号，退出账号后重新登录可同步审核状态。</w:t>
      </w:r>
    </w:p>
    <w:p>
      <w:pPr>
        <w:spacing w:line="360" w:lineRule="auto"/>
        <w:rPr>
          <w:rFonts w:ascii="仿宋_GB2312" w:eastAsia="仿宋_GB2312"/>
          <w:color w:val="auto"/>
          <w:sz w:val="24"/>
          <w:szCs w:val="24"/>
        </w:rPr>
      </w:pPr>
      <w:r>
        <w:rPr>
          <w:rFonts w:ascii="仿宋_GB2312" w:eastAsia="仿宋_GB2312"/>
          <w:color w:val="auto"/>
          <w:sz w:val="24"/>
          <w:szCs w:val="24"/>
        </w:rPr>
        <w:drawing>
          <wp:inline distT="0" distB="0" distL="0" distR="0">
            <wp:extent cx="5274310" cy="2538095"/>
            <wp:effectExtent l="0" t="0" r="2540" b="14605"/>
            <wp:docPr id="27" name="图片 27" descr="D:\Documents\WeChat Files\wxid_6qcdiuetmoqm22\FileStorage\Temp\1681811658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:\Documents\WeChat Files\wxid_6qcdiuetmoqm22\FileStorage\Temp\168181165814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eastAsia="仿宋_GB2312"/>
          <w:color w:val="auto"/>
          <w:sz w:val="24"/>
          <w:szCs w:val="24"/>
        </w:rPr>
      </w:pPr>
      <w:r>
        <w:rPr>
          <w:rFonts w:hint="eastAsia"/>
          <w:color w:val="auto"/>
          <w:sz w:val="18"/>
          <w:szCs w:val="18"/>
        </w:rPr>
        <w:t>图2</w:t>
      </w:r>
      <w:r>
        <w:rPr>
          <w:color w:val="auto"/>
          <w:sz w:val="18"/>
          <w:szCs w:val="18"/>
        </w:rPr>
        <w:t>-3</w:t>
      </w:r>
    </w:p>
    <w:p>
      <w:pPr>
        <w:ind w:firstLine="643" w:firstLineChars="200"/>
        <w:rPr>
          <w:rFonts w:ascii="仿宋_GB2312" w:eastAsia="仿宋_GB2312"/>
          <w:b/>
          <w:color w:val="auto"/>
          <w:sz w:val="32"/>
          <w:szCs w:val="32"/>
        </w:rPr>
      </w:pPr>
      <w:r>
        <w:rPr>
          <w:rFonts w:hint="eastAsia" w:ascii="仿宋_GB2312" w:eastAsia="仿宋_GB2312"/>
          <w:b/>
          <w:color w:val="auto"/>
          <w:sz w:val="32"/>
          <w:szCs w:val="32"/>
        </w:rPr>
        <w:t>2.2修改密码</w:t>
      </w:r>
    </w:p>
    <w:p>
      <w:pPr>
        <w:pStyle w:val="19"/>
        <w:kinsoku w:val="0"/>
        <w:autoSpaceDE w:val="0"/>
        <w:autoSpaceDN w:val="0"/>
        <w:adjustRightInd w:val="0"/>
        <w:snapToGrid w:val="0"/>
        <w:spacing w:line="520" w:lineRule="exact"/>
        <w:ind w:firstLine="640"/>
        <w:textAlignment w:val="baseline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首次进入系统需要修改密码,否则不能使用系统功能，点击确定后自动跳转至个人中心，选择修改密码对密码进行修改，默认密码为Zjrj@-2007, 密码规则如下：</w:t>
      </w:r>
    </w:p>
    <w:p>
      <w:pPr>
        <w:pStyle w:val="19"/>
        <w:kinsoku w:val="0"/>
        <w:autoSpaceDE w:val="0"/>
        <w:autoSpaceDN w:val="0"/>
        <w:adjustRightInd w:val="0"/>
        <w:snapToGrid w:val="0"/>
        <w:spacing w:line="520" w:lineRule="exact"/>
        <w:ind w:left="360" w:firstLine="0" w:firstLineChars="0"/>
        <w:textAlignment w:val="baseline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（1）密码长度不得少于8位；</w:t>
      </w:r>
    </w:p>
    <w:p>
      <w:pPr>
        <w:pStyle w:val="19"/>
        <w:kinsoku w:val="0"/>
        <w:autoSpaceDE w:val="0"/>
        <w:autoSpaceDN w:val="0"/>
        <w:adjustRightInd w:val="0"/>
        <w:snapToGrid w:val="0"/>
        <w:spacing w:line="520" w:lineRule="exact"/>
        <w:ind w:left="360" w:firstLine="0" w:firstLineChars="0"/>
        <w:textAlignment w:val="baseline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（2）密码中必须同时包含大写字母，小写字母，阿拉伯数字和特殊字符；</w:t>
      </w:r>
    </w:p>
    <w:p>
      <w:pPr>
        <w:pStyle w:val="19"/>
        <w:kinsoku w:val="0"/>
        <w:autoSpaceDE w:val="0"/>
        <w:autoSpaceDN w:val="0"/>
        <w:adjustRightInd w:val="0"/>
        <w:snapToGrid w:val="0"/>
        <w:spacing w:line="520" w:lineRule="exact"/>
        <w:ind w:left="360" w:firstLine="0" w:firstLineChars="0"/>
        <w:textAlignment w:val="baseline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（3）两次输入密码需保持一致才能修改成功；</w:t>
      </w:r>
    </w:p>
    <w:p>
      <w:pPr>
        <w:pStyle w:val="19"/>
        <w:kinsoku w:val="0"/>
        <w:autoSpaceDE w:val="0"/>
        <w:autoSpaceDN w:val="0"/>
        <w:adjustRightInd w:val="0"/>
        <w:snapToGrid w:val="0"/>
        <w:spacing w:line="520" w:lineRule="exact"/>
        <w:ind w:left="360" w:firstLine="0" w:firstLineChars="0"/>
        <w:textAlignment w:val="baseline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（4）密码中不得出现连续性字母或数字，例如123456，abcde等；</w:t>
      </w:r>
    </w:p>
    <w:p>
      <w:pPr>
        <w:pStyle w:val="19"/>
        <w:kinsoku w:val="0"/>
        <w:autoSpaceDE w:val="0"/>
        <w:autoSpaceDN w:val="0"/>
        <w:adjustRightInd w:val="0"/>
        <w:snapToGrid w:val="0"/>
        <w:spacing w:line="520" w:lineRule="exact"/>
        <w:ind w:left="360" w:firstLine="0" w:firstLineChars="0"/>
        <w:textAlignment w:val="baseline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（5）设置密码时请注意特殊符号是中文还是英文的，如英文引号“;” 和中文引号“；”就属于两种不同的字符，一般情况下默认为英文。特殊符号有限制，部分不能作为密码，例如“%”等，以系统提示为准。</w:t>
      </w:r>
    </w:p>
    <w:p>
      <w:pPr>
        <w:spacing w:line="520" w:lineRule="exact"/>
        <w:ind w:firstLine="643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b/>
          <w:color w:val="auto"/>
          <w:sz w:val="32"/>
          <w:szCs w:val="32"/>
        </w:rPr>
        <w:t>注意：</w:t>
      </w:r>
      <w:r>
        <w:rPr>
          <w:rFonts w:hint="eastAsia" w:ascii="仿宋_GB2312" w:eastAsia="仿宋_GB2312"/>
          <w:color w:val="auto"/>
          <w:sz w:val="32"/>
          <w:szCs w:val="32"/>
        </w:rPr>
        <w:t>各机构应该妥善保管自己机构的密码，不得将系统密码提供给负责人和工程师以外的人群，不得将账号和密码发到QQ/微信群里。</w:t>
      </w:r>
    </w:p>
    <w:p>
      <w:pPr>
        <w:spacing w:line="520" w:lineRule="exact"/>
        <w:ind w:firstLine="640" w:firstLineChars="200"/>
        <w:outlineLvl w:val="0"/>
        <w:rPr>
          <w:rFonts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三、机构人力信息</w:t>
      </w:r>
    </w:p>
    <w:p>
      <w:pPr>
        <w:spacing w:line="520" w:lineRule="exact"/>
        <w:ind w:firstLine="643" w:firstLineChars="200"/>
        <w:rPr>
          <w:rFonts w:ascii="仿宋_GB2312" w:hAnsi="仿宋_GB2312" w:eastAsia="仿宋_GB2312" w:cs="仿宋_GB2312"/>
          <w:b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3.1机构信息管理</w:t>
      </w:r>
    </w:p>
    <w:p>
      <w:pPr>
        <w:spacing w:line="52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进入子系统后先选择机构信息管理-机构信息维护填报机构信息。</w:t>
      </w:r>
    </w:p>
    <w:p>
      <w:pPr>
        <w:spacing w:line="360" w:lineRule="auto"/>
        <w:jc w:val="center"/>
        <w:rPr>
          <w:rFonts w:ascii="仿宋_GB2312" w:eastAsia="仿宋_GB2312"/>
          <w:color w:val="auto"/>
          <w:sz w:val="24"/>
          <w:szCs w:val="24"/>
        </w:rPr>
      </w:pPr>
      <w:r>
        <w:rPr>
          <w:rFonts w:ascii="仿宋_GB2312" w:eastAsia="仿宋_GB2312"/>
          <w:color w:val="auto"/>
          <w:sz w:val="24"/>
          <w:szCs w:val="24"/>
        </w:rPr>
        <w:drawing>
          <wp:inline distT="0" distB="0" distL="0" distR="0">
            <wp:extent cx="4452620" cy="1753235"/>
            <wp:effectExtent l="0" t="0" r="5080" b="18415"/>
            <wp:docPr id="2" name="图片 2" descr="D:\Documents\WeChat Files\wxid_6qcdiuetmoqm22\FileStorage\Temp\1681810621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Documents\WeChat Files\wxid_6qcdiuetmoqm22\FileStorage\Temp\168181062157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262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eastAsia="仿宋_GB2312"/>
          <w:color w:val="auto"/>
          <w:sz w:val="24"/>
          <w:szCs w:val="24"/>
        </w:rPr>
      </w:pPr>
      <w:r>
        <w:rPr>
          <w:rFonts w:hint="eastAsia"/>
          <w:color w:val="auto"/>
          <w:sz w:val="18"/>
          <w:szCs w:val="18"/>
        </w:rPr>
        <w:t>图</w:t>
      </w:r>
      <w:r>
        <w:rPr>
          <w:color w:val="auto"/>
          <w:sz w:val="18"/>
          <w:szCs w:val="18"/>
        </w:rPr>
        <w:t>3-1</w:t>
      </w:r>
    </w:p>
    <w:p>
      <w:pPr>
        <w:spacing w:line="52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机构信息包括基本信息，机构信息，分院信息，附件信息，如图3</w:t>
      </w:r>
      <w:r>
        <w:rPr>
          <w:rFonts w:ascii="仿宋_GB2312" w:eastAsia="仿宋_GB2312"/>
          <w:color w:val="auto"/>
          <w:sz w:val="32"/>
          <w:szCs w:val="32"/>
        </w:rPr>
        <w:t>-2</w:t>
      </w:r>
      <w:r>
        <w:rPr>
          <w:rFonts w:hint="eastAsia" w:ascii="仿宋_GB2312" w:eastAsia="仿宋_GB2312"/>
          <w:color w:val="auto"/>
          <w:sz w:val="32"/>
          <w:szCs w:val="32"/>
        </w:rPr>
        <w:t>所示。如果系统里没有该项信息，需要各医疗机构负责人补充；如果系统里有该项信息，则需要核实信息是否正确，若信息有误请及时修改，如果某些信息没有（例如分院信息），则不需要填写。信息填写完成后点击确认保存信息。</w:t>
      </w:r>
    </w:p>
    <w:p>
      <w:pPr>
        <w:spacing w:line="360" w:lineRule="auto"/>
        <w:jc w:val="center"/>
        <w:rPr>
          <w:rFonts w:ascii="仿宋_GB2312" w:eastAsia="仿宋_GB2312"/>
          <w:color w:val="auto"/>
          <w:sz w:val="24"/>
          <w:szCs w:val="24"/>
        </w:rPr>
      </w:pPr>
      <w:r>
        <w:rPr>
          <w:rFonts w:ascii="仿宋_GB2312" w:eastAsia="仿宋_GB2312"/>
          <w:color w:val="auto"/>
          <w:sz w:val="24"/>
          <w:szCs w:val="24"/>
        </w:rPr>
        <w:drawing>
          <wp:inline distT="0" distB="0" distL="0" distR="0">
            <wp:extent cx="4693920" cy="2275840"/>
            <wp:effectExtent l="0" t="0" r="11430" b="10160"/>
            <wp:docPr id="11" name="图片 11" descr="D:\Documents\WeChat Files\wxid_6qcdiuetmoqm22\FileStorage\Temp\1681810745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Documents\WeChat Files\wxid_6qcdiuetmoqm22\FileStorage\Temp\168181074523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jc w:val="center"/>
        <w:rPr>
          <w:rFonts w:ascii="仿宋_GB2312" w:eastAsia="仿宋_GB2312"/>
          <w:color w:val="auto"/>
          <w:sz w:val="24"/>
          <w:szCs w:val="24"/>
        </w:rPr>
      </w:pPr>
      <w:r>
        <w:rPr>
          <w:rFonts w:hint="eastAsia"/>
          <w:color w:val="auto"/>
          <w:sz w:val="18"/>
          <w:szCs w:val="18"/>
        </w:rPr>
        <w:t>图</w:t>
      </w:r>
      <w:r>
        <w:rPr>
          <w:color w:val="auto"/>
          <w:sz w:val="18"/>
          <w:szCs w:val="18"/>
        </w:rPr>
        <w:t>3-2</w:t>
      </w:r>
    </w:p>
    <w:p>
      <w:pPr>
        <w:spacing w:line="520" w:lineRule="exact"/>
        <w:ind w:firstLine="643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b/>
          <w:color w:val="auto"/>
          <w:sz w:val="32"/>
          <w:szCs w:val="32"/>
        </w:rPr>
        <w:t>说明1</w:t>
      </w:r>
      <w:r>
        <w:rPr>
          <w:rFonts w:hint="eastAsia" w:ascii="仿宋_GB2312" w:eastAsia="仿宋_GB2312"/>
          <w:color w:val="auto"/>
          <w:sz w:val="32"/>
          <w:szCs w:val="32"/>
        </w:rPr>
        <w:t>：“主体信息”机构不能修改，如该部分信息有误，请点击右侧“机构信息修改”提交申请，或直接联系上级机构完成修改；</w:t>
      </w:r>
    </w:p>
    <w:p>
      <w:pPr>
        <w:spacing w:line="520" w:lineRule="exact"/>
        <w:ind w:firstLine="643" w:firstLineChars="200"/>
        <w:rPr>
          <w:color w:val="auto"/>
          <w:sz w:val="32"/>
          <w:szCs w:val="32"/>
        </w:rPr>
      </w:pPr>
      <w:r>
        <w:rPr>
          <w:rFonts w:hint="eastAsia" w:ascii="仿宋_GB2312" w:eastAsia="仿宋_GB2312"/>
          <w:b/>
          <w:color w:val="auto"/>
          <w:sz w:val="32"/>
          <w:szCs w:val="32"/>
        </w:rPr>
        <w:t>说明</w:t>
      </w:r>
      <w:r>
        <w:rPr>
          <w:rFonts w:ascii="仿宋_GB2312" w:eastAsia="仿宋_GB2312"/>
          <w:b/>
          <w:color w:val="auto"/>
          <w:sz w:val="32"/>
          <w:szCs w:val="32"/>
        </w:rPr>
        <w:t>2</w:t>
      </w:r>
      <w:r>
        <w:rPr>
          <w:rFonts w:hint="eastAsia" w:ascii="仿宋_GB2312" w:eastAsia="仿宋_GB2312"/>
          <w:b/>
          <w:color w:val="auto"/>
          <w:sz w:val="32"/>
          <w:szCs w:val="32"/>
        </w:rPr>
        <w:t>：</w:t>
      </w:r>
      <w:r>
        <w:rPr>
          <w:rFonts w:hint="eastAsia" w:ascii="仿宋_GB2312" w:eastAsia="仿宋_GB2312"/>
          <w:color w:val="auto"/>
          <w:sz w:val="32"/>
          <w:szCs w:val="32"/>
        </w:rPr>
        <w:t>“基本信息”中的地址信息必须维护，否则会影响后续功能的使用。</w:t>
      </w:r>
    </w:p>
    <w:p>
      <w:pPr>
        <w:spacing w:line="520" w:lineRule="exact"/>
        <w:ind w:firstLine="643" w:firstLineChars="200"/>
        <w:rPr>
          <w:rFonts w:ascii="仿宋_GB2312" w:hAnsi="仿宋_GB2312" w:eastAsia="仿宋_GB2312" w:cs="仿宋_GB2312"/>
          <w:b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3.2人员信息维护</w:t>
      </w:r>
    </w:p>
    <w:p>
      <w:pPr>
        <w:spacing w:line="520" w:lineRule="exact"/>
        <w:ind w:firstLine="640" w:firstLineChars="200"/>
        <w:rPr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在系统“机构人力资源”-“个人信息管理”-“基本信息”页面点击“新增”按钮，如图3</w:t>
      </w:r>
      <w:r>
        <w:rPr>
          <w:rFonts w:ascii="仿宋_GB2312" w:eastAsia="仿宋_GB2312"/>
          <w:color w:val="auto"/>
          <w:sz w:val="32"/>
          <w:szCs w:val="32"/>
        </w:rPr>
        <w:t>-3</w:t>
      </w:r>
      <w:r>
        <w:rPr>
          <w:rFonts w:hint="eastAsia" w:ascii="仿宋_GB2312" w:eastAsia="仿宋_GB2312"/>
          <w:color w:val="auto"/>
          <w:sz w:val="32"/>
          <w:szCs w:val="32"/>
        </w:rPr>
        <w:t>所示。</w:t>
      </w:r>
    </w:p>
    <w:p>
      <w:pPr>
        <w:spacing w:line="360" w:lineRule="auto"/>
        <w:rPr>
          <w:rFonts w:ascii="仿宋_GB2312" w:eastAsia="仿宋_GB2312"/>
          <w:color w:val="auto"/>
          <w:sz w:val="24"/>
          <w:szCs w:val="24"/>
        </w:rPr>
      </w:pPr>
      <w:r>
        <w:rPr>
          <w:rFonts w:ascii="仿宋_GB2312" w:eastAsia="仿宋_GB2312"/>
          <w:color w:val="auto"/>
          <w:sz w:val="24"/>
          <w:szCs w:val="24"/>
        </w:rPr>
        <w:drawing>
          <wp:inline distT="0" distB="0" distL="0" distR="0">
            <wp:extent cx="5274310" cy="1518285"/>
            <wp:effectExtent l="0" t="0" r="2540" b="5715"/>
            <wp:docPr id="12" name="图片 12" descr="D:\Documents\WeChat Files\wxid_6qcdiuetmoqm22\FileStorage\Temp\1683276799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\Documents\WeChat Files\wxid_6qcdiuetmoqm22\FileStorage\Temp\168327679915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/>
          <w:color w:val="auto"/>
          <w:sz w:val="24"/>
          <w:szCs w:val="24"/>
        </w:rPr>
      </w:pPr>
      <w:r>
        <w:rPr>
          <w:rFonts w:hint="eastAsia"/>
          <w:color w:val="auto"/>
          <w:sz w:val="18"/>
          <w:szCs w:val="18"/>
        </w:rPr>
        <w:t>图</w:t>
      </w:r>
      <w:r>
        <w:rPr>
          <w:color w:val="auto"/>
          <w:sz w:val="18"/>
          <w:szCs w:val="18"/>
        </w:rPr>
        <w:t>3-3</w:t>
      </w:r>
    </w:p>
    <w:p>
      <w:pPr>
        <w:spacing w:line="360" w:lineRule="auto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在弹出的页面录入人员信息后保存即可。带红色“*”的为必填项，需填写内容才能保存页面内容，如图3</w:t>
      </w:r>
      <w:r>
        <w:rPr>
          <w:rFonts w:ascii="仿宋_GB2312" w:eastAsia="仿宋_GB2312"/>
          <w:color w:val="auto"/>
          <w:sz w:val="32"/>
          <w:szCs w:val="32"/>
        </w:rPr>
        <w:t>-4</w:t>
      </w:r>
      <w:r>
        <w:rPr>
          <w:rFonts w:hint="eastAsia" w:ascii="仿宋_GB2312" w:eastAsia="仿宋_GB2312"/>
          <w:color w:val="auto"/>
          <w:sz w:val="32"/>
          <w:szCs w:val="32"/>
        </w:rPr>
        <w:t>所示。</w:t>
      </w:r>
    </w:p>
    <w:p>
      <w:pPr>
        <w:spacing w:line="360" w:lineRule="auto"/>
        <w:rPr>
          <w:rFonts w:ascii="仿宋_GB2312" w:eastAsia="仿宋_GB2312"/>
          <w:color w:val="auto"/>
          <w:sz w:val="24"/>
          <w:szCs w:val="24"/>
        </w:rPr>
      </w:pPr>
      <w:bookmarkStart w:id="0" w:name="_GoBack"/>
      <w:bookmarkEnd w:id="0"/>
      <w:r>
        <w:rPr>
          <w:rFonts w:ascii="仿宋_GB2312" w:eastAsia="仿宋_GB2312"/>
          <w:color w:val="auto"/>
          <w:sz w:val="24"/>
          <w:szCs w:val="24"/>
        </w:rPr>
        <w:drawing>
          <wp:inline distT="0" distB="0" distL="0" distR="0">
            <wp:extent cx="5274310" cy="2444115"/>
            <wp:effectExtent l="0" t="0" r="2540" b="13335"/>
            <wp:docPr id="13" name="图片 13" descr="D:\Documents\WeChat Files\wxid_6qcdiuetmoqm22\FileStorage\Temp\1683277313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Documents\WeChat Files\wxid_6qcdiuetmoqm22\FileStorage\Temp\168327731320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color w:val="auto"/>
        </w:rPr>
      </w:pPr>
      <w:r>
        <w:rPr>
          <w:rFonts w:hint="eastAsia"/>
          <w:color w:val="auto"/>
        </w:rPr>
        <w:t>图</w:t>
      </w:r>
      <w:r>
        <w:rPr>
          <w:color w:val="auto"/>
        </w:rPr>
        <w:t>3-4</w:t>
      </w:r>
    </w:p>
    <w:p>
      <w:pPr>
        <w:spacing w:line="520" w:lineRule="exact"/>
        <w:ind w:firstLine="643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b/>
          <w:color w:val="auto"/>
          <w:sz w:val="32"/>
          <w:szCs w:val="32"/>
        </w:rPr>
        <w:t>说明：</w:t>
      </w:r>
      <w:r>
        <w:rPr>
          <w:rFonts w:hint="eastAsia" w:ascii="仿宋_GB2312" w:eastAsia="仿宋_GB2312"/>
          <w:color w:val="auto"/>
          <w:sz w:val="32"/>
          <w:szCs w:val="32"/>
        </w:rPr>
        <w:t>基本信息页面中，“专业特长”一项在系统中不是必填项。但是按照上级要求，本次人员信息录入时此项必填，请各单位注意填写；</w:t>
      </w:r>
    </w:p>
    <w:p>
      <w:pPr>
        <w:spacing w:line="520" w:lineRule="exact"/>
        <w:ind w:firstLine="640" w:firstLineChars="200"/>
        <w:outlineLvl w:val="0"/>
        <w:rPr>
          <w:rFonts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四、人员标签管理</w:t>
      </w:r>
    </w:p>
    <w:p>
      <w:pPr>
        <w:ind w:firstLine="643" w:firstLineChars="200"/>
        <w:rPr>
          <w:rFonts w:ascii="仿宋_GB2312" w:hAnsi="仿宋_GB2312" w:eastAsia="仿宋_GB2312" w:cs="仿宋_GB2312"/>
          <w:b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4.1 为上级分配标签添加人员</w:t>
      </w:r>
    </w:p>
    <w:p>
      <w:pPr>
        <w:spacing w:line="52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选择“机构人力资源”-“人员标签管理”功能，可以看到上级分配的任务标签（中医医术确有专长人员指导老师及推荐医师），如图</w:t>
      </w:r>
      <w:r>
        <w:rPr>
          <w:rFonts w:ascii="仿宋_GB2312" w:eastAsia="仿宋_GB2312"/>
          <w:color w:val="auto"/>
          <w:sz w:val="32"/>
          <w:szCs w:val="32"/>
        </w:rPr>
        <w:t>4</w:t>
      </w:r>
      <w:r>
        <w:rPr>
          <w:rFonts w:hint="eastAsia" w:ascii="仿宋_GB2312" w:eastAsia="仿宋_GB2312"/>
          <w:color w:val="auto"/>
          <w:sz w:val="32"/>
          <w:szCs w:val="32"/>
        </w:rPr>
        <w:t>-1所示。如果您没有看到对应的标签。请联系上级卫健委确认；</w:t>
      </w:r>
      <w:r>
        <w:rPr>
          <w:rFonts w:ascii="仿宋_GB2312" w:eastAsia="仿宋_GB2312"/>
          <w:color w:val="auto"/>
          <w:sz w:val="32"/>
          <w:szCs w:val="32"/>
        </w:rPr>
        <w:t xml:space="preserve"> </w:t>
      </w:r>
    </w:p>
    <w:p>
      <w:pPr>
        <w:spacing w:line="360" w:lineRule="auto"/>
        <w:jc w:val="center"/>
        <w:rPr>
          <w:rFonts w:ascii="仿宋_GB2312" w:eastAsia="仿宋_GB2312"/>
          <w:b/>
          <w:color w:val="auto"/>
          <w:sz w:val="24"/>
          <w:szCs w:val="24"/>
        </w:rPr>
      </w:pPr>
      <w:r>
        <w:drawing>
          <wp:inline distT="0" distB="0" distL="114300" distR="114300">
            <wp:extent cx="5610860" cy="2776855"/>
            <wp:effectExtent l="0" t="0" r="8890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eastAsia="仿宋_GB2312"/>
          <w:color w:val="auto"/>
          <w:sz w:val="24"/>
          <w:szCs w:val="24"/>
        </w:rPr>
      </w:pPr>
      <w:r>
        <w:rPr>
          <w:rFonts w:hint="eastAsia"/>
          <w:color w:val="auto"/>
          <w:sz w:val="18"/>
          <w:szCs w:val="18"/>
        </w:rPr>
        <w:t>图</w:t>
      </w:r>
      <w:r>
        <w:rPr>
          <w:color w:val="auto"/>
          <w:sz w:val="18"/>
          <w:szCs w:val="18"/>
        </w:rPr>
        <w:t>4-1</w:t>
      </w:r>
    </w:p>
    <w:p>
      <w:pPr>
        <w:spacing w:line="520" w:lineRule="exact"/>
        <w:ind w:firstLine="643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b/>
          <w:color w:val="auto"/>
          <w:sz w:val="32"/>
          <w:szCs w:val="32"/>
        </w:rPr>
        <w:t>说明：</w:t>
      </w:r>
      <w:r>
        <w:rPr>
          <w:rFonts w:hint="eastAsia" w:ascii="仿宋_GB2312" w:eastAsia="仿宋_GB2312"/>
          <w:color w:val="auto"/>
          <w:sz w:val="32"/>
          <w:szCs w:val="32"/>
        </w:rPr>
        <w:t>只有分组状态为“使用中”，机构才能对标签内容进行编辑，如果对应标签被封存，请联系上级卫健委确认。</w:t>
      </w:r>
    </w:p>
    <w:p>
      <w:pPr>
        <w:spacing w:line="52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点击“操作”中“编辑”一项，进入修改人员标签页面。该页面“人员标签成员”部分有五个选项，含义如下：</w:t>
      </w:r>
    </w:p>
    <w:p>
      <w:pPr>
        <w:numPr>
          <w:ilvl w:val="0"/>
          <w:numId w:val="2"/>
        </w:numPr>
        <w:spacing w:line="520" w:lineRule="exact"/>
        <w:ind w:firstLine="640" w:firstLineChars="200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添加成员：将符合要求的人员添加到“待处理”框中；</w:t>
      </w:r>
    </w:p>
    <w:p>
      <w:pPr>
        <w:spacing w:line="52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(2)入组：将待处理中选定的人员加入标签组（若上级未开放权限则无此项，这说明机构不能进行入组操作）；</w:t>
      </w:r>
    </w:p>
    <w:p>
      <w:pPr>
        <w:spacing w:line="52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(3)离组：将已经入组的人员移出标签组（若上级未开放权限则无此项，这说明机构不能进行离组操作）；</w:t>
      </w:r>
    </w:p>
    <w:p>
      <w:pPr>
        <w:spacing w:line="52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(4)删除：将“待处理”中不需要的成员信息进行删除，已经入组或离组的成员不支持删除；</w:t>
      </w:r>
    </w:p>
    <w:p>
      <w:pPr>
        <w:spacing w:line="52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(5)显示/隐藏过滤条件：机构负责人可以根据不同条件设置筛选项，进行人员查找。</w:t>
      </w:r>
    </w:p>
    <w:p>
      <w:pPr>
        <w:spacing w:line="360" w:lineRule="auto"/>
        <w:rPr>
          <w:rFonts w:ascii="仿宋_GB2312" w:eastAsia="仿宋_GB2312"/>
          <w:color w:val="auto"/>
          <w:sz w:val="24"/>
          <w:szCs w:val="24"/>
        </w:rPr>
      </w:pPr>
      <w:r>
        <w:drawing>
          <wp:inline distT="0" distB="0" distL="114300" distR="114300">
            <wp:extent cx="5607050" cy="2773680"/>
            <wp:effectExtent l="0" t="0" r="12700" b="762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仿宋_GB2312" w:eastAsia="宋体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18"/>
          <w:szCs w:val="18"/>
        </w:rPr>
        <w:t>图</w:t>
      </w:r>
      <w:r>
        <w:rPr>
          <w:color w:val="auto"/>
          <w:sz w:val="18"/>
          <w:szCs w:val="18"/>
        </w:rPr>
        <w:t>4-</w:t>
      </w:r>
      <w:r>
        <w:rPr>
          <w:rFonts w:hint="eastAsia" w:eastAsia="宋体"/>
          <w:color w:val="auto"/>
          <w:sz w:val="18"/>
          <w:szCs w:val="18"/>
          <w:lang w:val="en-US" w:eastAsia="zh-CN"/>
        </w:rPr>
        <w:t>2</w:t>
      </w:r>
    </w:p>
    <w:p>
      <w:pPr>
        <w:spacing w:line="52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用户可根据不同的条件对人员进行筛选，查找到符合要求的人员后，可根据实际需要在左侧栏勾选人员（支持一键全选）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，</w:t>
      </w:r>
      <w:r>
        <w:rPr>
          <w:rFonts w:hint="eastAsia" w:ascii="仿宋_GB2312" w:eastAsia="仿宋_GB2312"/>
          <w:sz w:val="32"/>
          <w:szCs w:val="32"/>
        </w:rPr>
        <w:t>机构在申报人员时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根据提示信息填写“申报备注”</w:t>
      </w:r>
      <w:r>
        <w:rPr>
          <w:rFonts w:hint="eastAsia" w:ascii="仿宋_GB2312" w:eastAsia="仿宋_GB2312"/>
          <w:sz w:val="32"/>
          <w:szCs w:val="32"/>
        </w:rPr>
        <w:t>，如有需要对该人员补充的信息，可以在“申报备注”一栏进行说明</w:t>
      </w:r>
      <w:r>
        <w:rPr>
          <w:rFonts w:hint="eastAsia" w:ascii="仿宋_GB2312" w:eastAsia="仿宋_GB2312"/>
          <w:color w:val="auto"/>
          <w:sz w:val="32"/>
          <w:szCs w:val="32"/>
        </w:rPr>
        <w:t>，没有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补充信息</w:t>
      </w:r>
      <w:r>
        <w:rPr>
          <w:rFonts w:hint="eastAsia" w:ascii="仿宋_GB2312" w:eastAsia="仿宋_GB2312"/>
          <w:color w:val="auto"/>
          <w:sz w:val="32"/>
          <w:szCs w:val="32"/>
        </w:rPr>
        <w:t>请填写"无”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填写</w:t>
      </w:r>
      <w:r>
        <w:rPr>
          <w:rFonts w:hint="eastAsia" w:ascii="仿宋_GB2312" w:eastAsia="仿宋_GB2312"/>
          <w:color w:val="auto"/>
          <w:sz w:val="32"/>
          <w:szCs w:val="32"/>
        </w:rPr>
        <w:t>完成后点击“确认”即可，如图</w:t>
      </w:r>
      <w:r>
        <w:rPr>
          <w:rFonts w:ascii="仿宋_GB2312" w:eastAsia="仿宋_GB2312"/>
          <w:color w:val="auto"/>
          <w:sz w:val="32"/>
          <w:szCs w:val="32"/>
        </w:rPr>
        <w:t>4</w:t>
      </w:r>
      <w:r>
        <w:rPr>
          <w:rFonts w:hint="eastAsia" w:ascii="仿宋_GB2312" w:eastAsia="仿宋_GB2312"/>
          <w:color w:val="auto"/>
          <w:sz w:val="32"/>
          <w:szCs w:val="32"/>
        </w:rPr>
        <w:t>-3所示。</w:t>
      </w:r>
    </w:p>
    <w:p>
      <w:pPr>
        <w:spacing w:line="360" w:lineRule="auto"/>
        <w:rPr>
          <w:rFonts w:ascii="仿宋_GB2312" w:eastAsia="仿宋_GB2312"/>
          <w:color w:val="auto"/>
          <w:sz w:val="24"/>
          <w:szCs w:val="24"/>
        </w:rPr>
      </w:pPr>
      <w:r>
        <w:drawing>
          <wp:inline distT="0" distB="0" distL="114300" distR="114300">
            <wp:extent cx="5597525" cy="2712720"/>
            <wp:effectExtent l="0" t="0" r="3175" b="1143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仿宋_GB2312" w:eastAsia="宋体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18"/>
          <w:szCs w:val="18"/>
        </w:rPr>
        <w:t>图</w:t>
      </w:r>
      <w:r>
        <w:rPr>
          <w:color w:val="auto"/>
          <w:sz w:val="18"/>
          <w:szCs w:val="18"/>
        </w:rPr>
        <w:t>4-</w:t>
      </w:r>
      <w:r>
        <w:rPr>
          <w:rFonts w:hint="eastAsia" w:eastAsia="宋体"/>
          <w:color w:val="auto"/>
          <w:sz w:val="18"/>
          <w:szCs w:val="18"/>
          <w:lang w:val="en-US" w:eastAsia="zh-CN"/>
        </w:rPr>
        <w:t>3</w:t>
      </w:r>
    </w:p>
    <w:p>
      <w:pPr>
        <w:spacing w:line="52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4.2人员入组</w:t>
      </w:r>
    </w:p>
    <w:p>
      <w:pPr>
        <w:spacing w:line="52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此时人员在“待处理”一栏，还并未入组，需要负责人需要勾选“待处理”中的人员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填写“入库备注”</w:t>
      </w:r>
      <w:r>
        <w:rPr>
          <w:rFonts w:hint="eastAsia" w:ascii="仿宋_GB2312" w:eastAsia="仿宋_GB2312"/>
          <w:color w:val="auto"/>
          <w:sz w:val="32"/>
          <w:szCs w:val="32"/>
        </w:rPr>
        <w:t>，没有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补充信息</w:t>
      </w:r>
      <w:r>
        <w:rPr>
          <w:rFonts w:hint="eastAsia" w:ascii="仿宋_GB2312" w:eastAsia="仿宋_GB2312"/>
          <w:color w:val="auto"/>
          <w:sz w:val="32"/>
          <w:szCs w:val="32"/>
        </w:rPr>
        <w:t>请填写"无”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color w:val="auto"/>
          <w:sz w:val="32"/>
          <w:szCs w:val="32"/>
        </w:rPr>
        <w:t>点击上方“入组”按钮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可将选中的待处理人员入组</w:t>
      </w:r>
      <w:r>
        <w:rPr>
          <w:rFonts w:hint="eastAsia" w:ascii="仿宋_GB2312" w:eastAsia="仿宋_GB2312"/>
          <w:color w:val="auto"/>
          <w:sz w:val="32"/>
          <w:szCs w:val="32"/>
        </w:rPr>
        <w:t>，如图</w:t>
      </w:r>
      <w:r>
        <w:rPr>
          <w:rFonts w:ascii="仿宋_GB2312" w:eastAsia="仿宋_GB2312"/>
          <w:color w:val="auto"/>
          <w:sz w:val="32"/>
          <w:szCs w:val="32"/>
        </w:rPr>
        <w:t>4</w:t>
      </w:r>
      <w:r>
        <w:rPr>
          <w:rFonts w:hint="eastAsia" w:ascii="仿宋_GB2312" w:eastAsia="仿宋_GB2312"/>
          <w:color w:val="auto"/>
          <w:sz w:val="32"/>
          <w:szCs w:val="32"/>
        </w:rPr>
        <w:t>-4所示。</w:t>
      </w:r>
    </w:p>
    <w:p>
      <w:pPr>
        <w:spacing w:line="360" w:lineRule="auto"/>
        <w:rPr>
          <w:rFonts w:ascii="仿宋_GB2312" w:eastAsia="仿宋_GB2312"/>
          <w:color w:val="auto"/>
          <w:sz w:val="24"/>
          <w:szCs w:val="24"/>
        </w:rPr>
      </w:pPr>
      <w:r>
        <w:drawing>
          <wp:inline distT="0" distB="0" distL="114300" distR="114300">
            <wp:extent cx="5598795" cy="2748280"/>
            <wp:effectExtent l="0" t="0" r="1905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jc w:val="center"/>
        <w:rPr>
          <w:rFonts w:ascii="仿宋_GB2312" w:eastAsia="仿宋_GB2312"/>
          <w:color w:val="auto"/>
          <w:sz w:val="24"/>
          <w:szCs w:val="24"/>
        </w:rPr>
      </w:pPr>
      <w:r>
        <w:rPr>
          <w:rFonts w:hint="eastAsia"/>
          <w:color w:val="auto"/>
          <w:sz w:val="18"/>
          <w:szCs w:val="18"/>
        </w:rPr>
        <w:t>图</w:t>
      </w:r>
      <w:r>
        <w:rPr>
          <w:color w:val="auto"/>
          <w:sz w:val="18"/>
          <w:szCs w:val="18"/>
        </w:rPr>
        <w:t>4-4</w:t>
      </w:r>
    </w:p>
    <w:p>
      <w:pPr>
        <w:spacing w:line="52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4.3人员离组</w:t>
      </w:r>
    </w:p>
    <w:p>
      <w:pPr>
        <w:spacing w:line="52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如误操作将无关人员入组，请将该人员离组：此时删除按钮无效，需要勾选对应的人员，选定后点击上方“离组”按钮，确认后进行人员离组操作。</w:t>
      </w:r>
    </w:p>
    <w:p>
      <w:pPr>
        <w:spacing w:line="360" w:lineRule="auto"/>
        <w:rPr>
          <w:rFonts w:ascii="仿宋_GB2312" w:eastAsia="仿宋_GB2312"/>
          <w:color w:val="auto"/>
          <w:sz w:val="24"/>
          <w:szCs w:val="24"/>
        </w:rPr>
      </w:pPr>
      <w:r>
        <w:drawing>
          <wp:inline distT="0" distB="0" distL="114300" distR="114300">
            <wp:extent cx="5611495" cy="2774315"/>
            <wp:effectExtent l="0" t="0" r="8255" b="698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eastAsia="仿宋_GB2312"/>
          <w:color w:val="auto"/>
          <w:sz w:val="24"/>
          <w:szCs w:val="24"/>
        </w:rPr>
      </w:pPr>
      <w:r>
        <w:rPr>
          <w:rFonts w:hint="eastAsia"/>
          <w:color w:val="auto"/>
          <w:sz w:val="18"/>
          <w:szCs w:val="18"/>
        </w:rPr>
        <w:t>图</w:t>
      </w:r>
      <w:r>
        <w:rPr>
          <w:color w:val="auto"/>
          <w:sz w:val="18"/>
          <w:szCs w:val="18"/>
        </w:rPr>
        <w:t>4-5</w:t>
      </w:r>
    </w:p>
    <w:p>
      <w:pPr>
        <w:spacing w:line="520" w:lineRule="exact"/>
        <w:ind w:firstLine="643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b/>
          <w:color w:val="auto"/>
          <w:sz w:val="32"/>
          <w:szCs w:val="32"/>
        </w:rPr>
        <w:t>说明：</w:t>
      </w:r>
      <w:r>
        <w:rPr>
          <w:rFonts w:hint="eastAsia" w:ascii="仿宋_GB2312" w:eastAsia="仿宋_GB2312"/>
          <w:color w:val="auto"/>
          <w:sz w:val="32"/>
          <w:szCs w:val="32"/>
        </w:rPr>
        <w:t>完成上述一系列操作后必须点击页面下方的“确认保存”后才能对操作内容进行保存，点击“取消”或直接关闭页面不能保存数据。</w:t>
      </w:r>
    </w:p>
    <w:p>
      <w:pPr>
        <w:spacing w:line="360" w:lineRule="auto"/>
        <w:rPr>
          <w:color w:val="auto"/>
        </w:rPr>
      </w:pPr>
      <w:r>
        <w:drawing>
          <wp:inline distT="0" distB="0" distL="114300" distR="114300">
            <wp:extent cx="5598795" cy="2759075"/>
            <wp:effectExtent l="0" t="0" r="190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jc w:val="center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/>
          <w:color w:val="auto"/>
        </w:rPr>
        <w:t>图</w:t>
      </w:r>
      <w:r>
        <w:rPr>
          <w:color w:val="auto"/>
        </w:rPr>
        <w:t>4-6</w:t>
      </w:r>
    </w:p>
    <w:sectPr>
      <w:footerReference r:id="rId3" w:type="default"/>
      <w:pgSz w:w="11900" w:h="16840"/>
      <w:pgMar w:top="2098" w:right="1474" w:bottom="1701" w:left="1587" w:header="0" w:footer="976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73"/>
      <w:rPr>
        <w:rFonts w:ascii="宋体" w:hAnsi="宋体" w:eastAsia="宋体" w:cs="宋体"/>
        <w:color w:val="FFFFFF" w:themeColor="background1"/>
        <w:sz w:val="28"/>
        <w:szCs w:val="28"/>
        <w14:textFill>
          <w14:solidFill>
            <w14:schemeClr w14:val="bg1"/>
          </w14:solidFill>
        </w14:textFill>
      </w:rPr>
    </w:pPr>
    <w:r>
      <w:rPr>
        <w:rFonts w:ascii="宋体" w:hAnsi="宋体" w:eastAsia="宋体" w:cs="宋体"/>
        <w:color w:val="FFFFFF" w:themeColor="background1"/>
        <w:spacing w:val="1"/>
        <w:sz w:val="28"/>
        <w:szCs w:val="28"/>
        <w14:textFill>
          <w14:solidFill>
            <w14:schemeClr w14:val="bg1"/>
          </w14:solidFill>
        </w14:textFill>
      </w:rPr>
      <w:t xml:space="preserve">— </w:t>
    </w:r>
    <w:r>
      <w:rPr>
        <w:rFonts w:hint="eastAsia" w:ascii="宋体" w:hAnsi="宋体" w:eastAsia="宋体" w:cs="宋体"/>
        <w:color w:val="FFFFFF" w:themeColor="background1"/>
        <w:sz w:val="28"/>
        <w:szCs w:val="28"/>
        <w14:textFill>
          <w14:solidFill>
            <w14:schemeClr w14:val="bg1"/>
          </w14:solidFill>
        </w14:textFill>
      </w:rPr>
      <w:t>1</w:t>
    </w:r>
    <w:r>
      <w:rPr>
        <w:rFonts w:ascii="宋体" w:hAnsi="宋体" w:eastAsia="宋体" w:cs="宋体"/>
        <w:color w:val="FFFFFF" w:themeColor="background1"/>
        <w:sz w:val="28"/>
        <w:szCs w:val="28"/>
        <w14:textFill>
          <w14:solidFill>
            <w14:schemeClr w14:val="bg1"/>
          </w14:solidFill>
        </w14:textFill>
      </w:rPr>
      <w:t xml:space="preserve"> —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85CDB1"/>
    <w:multiLevelType w:val="singleLevel"/>
    <w:tmpl w:val="BA85CDB1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4C13300B"/>
    <w:multiLevelType w:val="multilevel"/>
    <w:tmpl w:val="4C13300B"/>
    <w:lvl w:ilvl="0" w:tentative="0">
      <w:start w:val="1"/>
      <w:numFmt w:val="decimal"/>
      <w:pStyle w:val="22"/>
      <w:lvlText w:val="%1"/>
      <w:lvlJc w:val="left"/>
      <w:pPr>
        <w:ind w:left="0" w:firstLine="0"/>
      </w:pPr>
      <w:rPr>
        <w:rFonts w:hint="default" w:ascii="Times New Roman" w:hAnsi="Times New Roman" w:eastAsia="仿宋"/>
        <w:b w:val="0"/>
        <w:i w:val="0"/>
        <w:caps w:val="0"/>
        <w:strike w:val="0"/>
        <w:dstrike w:val="0"/>
        <w:snapToGrid w:val="0"/>
        <w:vanish w:val="0"/>
        <w:color w:val="auto"/>
        <w:kern w:val="0"/>
        <w:sz w:val="28"/>
        <w:u w:val="none"/>
        <w:vertAlign w:val="baseline"/>
      </w:rPr>
    </w:lvl>
    <w:lvl w:ilvl="1" w:tentative="0">
      <w:start w:val="1"/>
      <w:numFmt w:val="decimal"/>
      <w:pStyle w:val="24"/>
      <w:lvlText w:val="%1.%2"/>
      <w:lvlJc w:val="left"/>
      <w:pPr>
        <w:ind w:left="0" w:firstLine="0"/>
      </w:pPr>
      <w:rPr>
        <w:rFonts w:hint="default" w:ascii="Times New Roman" w:hAnsi="Times New Roman" w:eastAsia="仿宋"/>
        <w:b w:val="0"/>
        <w:i w:val="0"/>
        <w:caps w:val="0"/>
        <w:strike w:val="0"/>
        <w:dstrike w:val="0"/>
        <w:snapToGrid w:val="0"/>
        <w:vanish w:val="0"/>
        <w:color w:val="auto"/>
        <w:kern w:val="0"/>
        <w:sz w:val="28"/>
        <w:u w:val="none"/>
        <w:vertAlign w:val="baseline"/>
      </w:rPr>
    </w:lvl>
    <w:lvl w:ilvl="2" w:tentative="0">
      <w:start w:val="1"/>
      <w:numFmt w:val="decimal"/>
      <w:pStyle w:val="26"/>
      <w:lvlText w:val="%1.%2.%3"/>
      <w:lvlJc w:val="left"/>
      <w:pPr>
        <w:ind w:left="0" w:firstLine="0"/>
      </w:pPr>
      <w:rPr>
        <w:rFonts w:hint="default" w:ascii="Times New Roman" w:hAnsi="Times New Roman" w:eastAsia="仿宋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kern w:val="0"/>
        <w:sz w:val="28"/>
        <w:u w:val="none"/>
        <w:vertAlign w:val="baseline"/>
      </w:rPr>
    </w:lvl>
    <w:lvl w:ilvl="3" w:tentative="0">
      <w:start w:val="1"/>
      <w:numFmt w:val="decimal"/>
      <w:pStyle w:val="28"/>
      <w:lvlText w:val="%1.%2.%3.%4"/>
      <w:lvlJc w:val="left"/>
      <w:pPr>
        <w:ind w:left="0" w:firstLine="0"/>
      </w:pPr>
      <w:rPr>
        <w:rFonts w:hint="default" w:ascii="Times New Roman" w:hAnsi="Times New Roman" w:eastAsia="仿宋"/>
        <w:b w:val="0"/>
        <w:i w:val="0"/>
        <w:caps w:val="0"/>
        <w:strike w:val="0"/>
        <w:dstrike w:val="0"/>
        <w:snapToGrid w:val="0"/>
        <w:vanish w:val="0"/>
        <w:color w:val="auto"/>
        <w:kern w:val="0"/>
        <w:sz w:val="28"/>
        <w:u w:val="none"/>
        <w:vertAlign w:val="baseline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bordersDoNotSurroundHeader w:val="0"/>
  <w:bordersDoNotSurroundFooter w:val="0"/>
  <w:documentProtection w:edit="forms"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I3ZDMxZmJiZjhhNzVjM2E3ODk4YTYxYWQxN2M0NzQifQ=="/>
  </w:docVars>
  <w:rsids>
    <w:rsidRoot w:val="00D236B9"/>
    <w:rsid w:val="0007474B"/>
    <w:rsid w:val="000A6DC4"/>
    <w:rsid w:val="00170B48"/>
    <w:rsid w:val="00184C82"/>
    <w:rsid w:val="00185FD1"/>
    <w:rsid w:val="001D431F"/>
    <w:rsid w:val="001E79AF"/>
    <w:rsid w:val="001F5284"/>
    <w:rsid w:val="002F5B98"/>
    <w:rsid w:val="00395191"/>
    <w:rsid w:val="003B744A"/>
    <w:rsid w:val="00437801"/>
    <w:rsid w:val="004413D5"/>
    <w:rsid w:val="00534B80"/>
    <w:rsid w:val="00575252"/>
    <w:rsid w:val="00596D08"/>
    <w:rsid w:val="00630757"/>
    <w:rsid w:val="0073760A"/>
    <w:rsid w:val="007414D3"/>
    <w:rsid w:val="007633CE"/>
    <w:rsid w:val="007A68C5"/>
    <w:rsid w:val="008D3379"/>
    <w:rsid w:val="008D4B2B"/>
    <w:rsid w:val="00983C9C"/>
    <w:rsid w:val="009C1113"/>
    <w:rsid w:val="00A13144"/>
    <w:rsid w:val="00A25CC8"/>
    <w:rsid w:val="00AE49E2"/>
    <w:rsid w:val="00B254B5"/>
    <w:rsid w:val="00B5476D"/>
    <w:rsid w:val="00B76C0C"/>
    <w:rsid w:val="00BC372E"/>
    <w:rsid w:val="00BC3770"/>
    <w:rsid w:val="00C41AB7"/>
    <w:rsid w:val="00D236B9"/>
    <w:rsid w:val="00D53239"/>
    <w:rsid w:val="00DA7F58"/>
    <w:rsid w:val="00DC4689"/>
    <w:rsid w:val="00DD6BBB"/>
    <w:rsid w:val="00E05F8D"/>
    <w:rsid w:val="00E23C3F"/>
    <w:rsid w:val="00E5098A"/>
    <w:rsid w:val="00ED0BF3"/>
    <w:rsid w:val="00F81F1E"/>
    <w:rsid w:val="00FC3B0E"/>
    <w:rsid w:val="00FE16FD"/>
    <w:rsid w:val="00FF0331"/>
    <w:rsid w:val="072715D0"/>
    <w:rsid w:val="08AB6853"/>
    <w:rsid w:val="08B651F8"/>
    <w:rsid w:val="0A981059"/>
    <w:rsid w:val="0FD077A8"/>
    <w:rsid w:val="132D60B6"/>
    <w:rsid w:val="16E43CCB"/>
    <w:rsid w:val="1823063E"/>
    <w:rsid w:val="18E13BCB"/>
    <w:rsid w:val="1A1912CB"/>
    <w:rsid w:val="1DE55F0B"/>
    <w:rsid w:val="1F09745C"/>
    <w:rsid w:val="22FD2A2B"/>
    <w:rsid w:val="26BC7A25"/>
    <w:rsid w:val="271D04C4"/>
    <w:rsid w:val="27FA76A1"/>
    <w:rsid w:val="28416434"/>
    <w:rsid w:val="2DAC0C1E"/>
    <w:rsid w:val="2FB35E69"/>
    <w:rsid w:val="31D2634F"/>
    <w:rsid w:val="3236068C"/>
    <w:rsid w:val="327F0285"/>
    <w:rsid w:val="328D7CCB"/>
    <w:rsid w:val="35EE5E86"/>
    <w:rsid w:val="37180CA8"/>
    <w:rsid w:val="376A1DCA"/>
    <w:rsid w:val="3CDE3DFA"/>
    <w:rsid w:val="41D852BC"/>
    <w:rsid w:val="434075BC"/>
    <w:rsid w:val="43F52D01"/>
    <w:rsid w:val="45837C34"/>
    <w:rsid w:val="4654337F"/>
    <w:rsid w:val="472E597E"/>
    <w:rsid w:val="4B8D7117"/>
    <w:rsid w:val="4C101AF6"/>
    <w:rsid w:val="4C177A9B"/>
    <w:rsid w:val="4C800A2A"/>
    <w:rsid w:val="4DBD7A5B"/>
    <w:rsid w:val="50373AF5"/>
    <w:rsid w:val="53E145C0"/>
    <w:rsid w:val="59AD2907"/>
    <w:rsid w:val="5ABB5323"/>
    <w:rsid w:val="5C0C4088"/>
    <w:rsid w:val="5C311D40"/>
    <w:rsid w:val="5CA666A7"/>
    <w:rsid w:val="5E96232F"/>
    <w:rsid w:val="5EE7661A"/>
    <w:rsid w:val="5F17346F"/>
    <w:rsid w:val="61167757"/>
    <w:rsid w:val="61493688"/>
    <w:rsid w:val="63141A74"/>
    <w:rsid w:val="63163A3E"/>
    <w:rsid w:val="68C55CEA"/>
    <w:rsid w:val="69623539"/>
    <w:rsid w:val="6DDFF92F"/>
    <w:rsid w:val="72B56DCF"/>
    <w:rsid w:val="75AB270C"/>
    <w:rsid w:val="75C6731C"/>
    <w:rsid w:val="77737F33"/>
    <w:rsid w:val="77E96911"/>
    <w:rsid w:val="7CDB2E14"/>
    <w:rsid w:val="7CF15EFA"/>
    <w:rsid w:val="7CFFA428"/>
    <w:rsid w:val="7D6D7DE2"/>
    <w:rsid w:val="7F2A28F3"/>
    <w:rsid w:val="7FD47AE3"/>
    <w:rsid w:val="DF7FBF00"/>
    <w:rsid w:val="E79F6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uiPriority="99" w:name="HTML Typewriter"/>
    <w:lsdException w:qFormat="1"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37"/>
    <w:autoRedefine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36"/>
    <w:autoRedefine/>
    <w:unhideWhenUsed/>
    <w:qFormat/>
    <w:uiPriority w:val="99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autoRedefine/>
    <w:semiHidden/>
    <w:unhideWhenUsed/>
    <w:qFormat/>
    <w:uiPriority w:val="99"/>
    <w:pPr>
      <w:spacing w:beforeAutospacing="1" w:afterAutospacing="1"/>
    </w:pPr>
    <w:rPr>
      <w:rFonts w:cs="Times New Roman"/>
      <w:sz w:val="24"/>
    </w:r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FollowedHyperlink"/>
    <w:basedOn w:val="8"/>
    <w:autoRedefine/>
    <w:semiHidden/>
    <w:unhideWhenUsed/>
    <w:qFormat/>
    <w:uiPriority w:val="99"/>
    <w:rPr>
      <w:color w:val="333333"/>
      <w:u w:val="none"/>
    </w:rPr>
  </w:style>
  <w:style w:type="character" w:styleId="11">
    <w:name w:val="Emphasis"/>
    <w:basedOn w:val="8"/>
    <w:autoRedefine/>
    <w:qFormat/>
    <w:uiPriority w:val="20"/>
  </w:style>
  <w:style w:type="character" w:styleId="12">
    <w:name w:val="HTML Definition"/>
    <w:basedOn w:val="8"/>
    <w:autoRedefine/>
    <w:semiHidden/>
    <w:unhideWhenUsed/>
    <w:qFormat/>
    <w:uiPriority w:val="99"/>
  </w:style>
  <w:style w:type="character" w:styleId="13">
    <w:name w:val="HTML Variable"/>
    <w:basedOn w:val="8"/>
    <w:autoRedefine/>
    <w:semiHidden/>
    <w:unhideWhenUsed/>
    <w:qFormat/>
    <w:uiPriority w:val="99"/>
  </w:style>
  <w:style w:type="character" w:styleId="14">
    <w:name w:val="Hyperlink"/>
    <w:basedOn w:val="8"/>
    <w:autoRedefine/>
    <w:semiHidden/>
    <w:unhideWhenUsed/>
    <w:qFormat/>
    <w:uiPriority w:val="99"/>
    <w:rPr>
      <w:color w:val="333333"/>
      <w:u w:val="none"/>
    </w:rPr>
  </w:style>
  <w:style w:type="character" w:styleId="15">
    <w:name w:val="HTML Code"/>
    <w:basedOn w:val="8"/>
    <w:autoRedefine/>
    <w:semiHidden/>
    <w:unhideWhenUsed/>
    <w:qFormat/>
    <w:uiPriority w:val="99"/>
    <w:rPr>
      <w:rFonts w:ascii="Consolas" w:hAnsi="Consolas" w:eastAsia="Consolas" w:cs="Consolas"/>
      <w:color w:val="C7254E"/>
      <w:sz w:val="21"/>
      <w:szCs w:val="21"/>
      <w:shd w:val="clear" w:color="auto" w:fill="F9F2F4"/>
    </w:rPr>
  </w:style>
  <w:style w:type="character" w:styleId="16">
    <w:name w:val="HTML Cite"/>
    <w:basedOn w:val="8"/>
    <w:autoRedefine/>
    <w:semiHidden/>
    <w:unhideWhenUsed/>
    <w:qFormat/>
    <w:uiPriority w:val="99"/>
  </w:style>
  <w:style w:type="character" w:styleId="17">
    <w:name w:val="HTML Keyboard"/>
    <w:basedOn w:val="8"/>
    <w:autoRedefine/>
    <w:semiHidden/>
    <w:unhideWhenUsed/>
    <w:qFormat/>
    <w:uiPriority w:val="99"/>
    <w:rPr>
      <w:rFonts w:hint="default" w:ascii="Consolas" w:hAnsi="Consolas" w:eastAsia="Consolas" w:cs="Consolas"/>
      <w:color w:val="FFFFFF"/>
      <w:sz w:val="21"/>
      <w:szCs w:val="21"/>
      <w:shd w:val="clear" w:color="auto" w:fill="333333"/>
    </w:rPr>
  </w:style>
  <w:style w:type="character" w:styleId="18">
    <w:name w:val="HTML Sample"/>
    <w:basedOn w:val="8"/>
    <w:autoRedefine/>
    <w:semiHidden/>
    <w:unhideWhenUsed/>
    <w:qFormat/>
    <w:uiPriority w:val="99"/>
    <w:rPr>
      <w:rFonts w:hint="default" w:ascii="Consolas" w:hAnsi="Consolas" w:eastAsia="Consolas" w:cs="Consolas"/>
      <w:sz w:val="21"/>
      <w:szCs w:val="21"/>
    </w:rPr>
  </w:style>
  <w:style w:type="paragraph" w:styleId="19">
    <w:name w:val="List Paragraph"/>
    <w:basedOn w:val="1"/>
    <w:link w:val="20"/>
    <w:autoRedefine/>
    <w:qFormat/>
    <w:uiPriority w:val="34"/>
    <w:pPr>
      <w:kinsoku/>
      <w:autoSpaceDE/>
      <w:autoSpaceDN/>
      <w:adjustRightInd/>
      <w:snapToGrid/>
      <w:spacing w:line="480" w:lineRule="exact"/>
      <w:ind w:firstLine="420" w:firstLineChars="200"/>
      <w:textAlignment w:val="auto"/>
    </w:pPr>
    <w:rPr>
      <w:rFonts w:ascii="Times New Roman" w:hAnsi="Times New Roman" w:eastAsia="仿宋" w:cs="Times New Roman"/>
      <w:snapToGrid/>
      <w:color w:val="auto"/>
      <w:sz w:val="28"/>
      <w:szCs w:val="24"/>
    </w:rPr>
  </w:style>
  <w:style w:type="character" w:customStyle="1" w:styleId="20">
    <w:name w:val="列表段落 字符"/>
    <w:basedOn w:val="8"/>
    <w:link w:val="19"/>
    <w:autoRedefine/>
    <w:qFormat/>
    <w:uiPriority w:val="34"/>
    <w:rPr>
      <w:rFonts w:ascii="Times New Roman" w:hAnsi="Times New Roman" w:eastAsia="宋体"/>
    </w:rPr>
  </w:style>
  <w:style w:type="paragraph" w:customStyle="1" w:styleId="21">
    <w:name w:val="z正文"/>
    <w:basedOn w:val="1"/>
    <w:link w:val="23"/>
    <w:autoRedefine/>
    <w:qFormat/>
    <w:uiPriority w:val="0"/>
    <w:pPr>
      <w:kinsoku/>
      <w:autoSpaceDE/>
      <w:autoSpaceDN/>
      <w:adjustRightInd/>
      <w:snapToGrid/>
      <w:spacing w:line="480" w:lineRule="exact"/>
      <w:ind w:firstLine="200" w:firstLineChars="200"/>
      <w:textAlignment w:val="auto"/>
    </w:pPr>
    <w:rPr>
      <w:rFonts w:ascii="Times New Roman" w:hAnsi="Times New Roman" w:eastAsia="仿宋" w:cs="Times New Roman"/>
      <w:snapToGrid/>
      <w:color w:val="auto"/>
      <w:sz w:val="28"/>
      <w:szCs w:val="24"/>
    </w:rPr>
  </w:style>
  <w:style w:type="paragraph" w:customStyle="1" w:styleId="22">
    <w:name w:val="Lv1"/>
    <w:basedOn w:val="19"/>
    <w:next w:val="21"/>
    <w:link w:val="25"/>
    <w:autoRedefine/>
    <w:qFormat/>
    <w:uiPriority w:val="0"/>
    <w:pPr>
      <w:numPr>
        <w:ilvl w:val="0"/>
        <w:numId w:val="1"/>
      </w:numPr>
      <w:spacing w:line="360" w:lineRule="auto"/>
      <w:ind w:firstLineChars="0"/>
      <w:outlineLvl w:val="1"/>
    </w:pPr>
  </w:style>
  <w:style w:type="character" w:customStyle="1" w:styleId="23">
    <w:name w:val="z正文 字符"/>
    <w:basedOn w:val="8"/>
    <w:link w:val="21"/>
    <w:autoRedefine/>
    <w:qFormat/>
    <w:uiPriority w:val="0"/>
    <w:rPr>
      <w:rFonts w:ascii="Times New Roman" w:hAnsi="Times New Roman" w:eastAsia="仿宋" w:cs="Times New Roman"/>
      <w:kern w:val="0"/>
      <w:sz w:val="28"/>
      <w:szCs w:val="24"/>
    </w:rPr>
  </w:style>
  <w:style w:type="paragraph" w:customStyle="1" w:styleId="24">
    <w:name w:val="Lv2"/>
    <w:basedOn w:val="19"/>
    <w:next w:val="21"/>
    <w:link w:val="27"/>
    <w:autoRedefine/>
    <w:qFormat/>
    <w:uiPriority w:val="0"/>
    <w:pPr>
      <w:numPr>
        <w:ilvl w:val="1"/>
        <w:numId w:val="1"/>
      </w:numPr>
      <w:spacing w:line="360" w:lineRule="auto"/>
      <w:ind w:firstLineChars="0"/>
      <w:outlineLvl w:val="2"/>
    </w:pPr>
  </w:style>
  <w:style w:type="character" w:customStyle="1" w:styleId="25">
    <w:name w:val="Lv1 字符"/>
    <w:basedOn w:val="20"/>
    <w:link w:val="22"/>
    <w:autoRedefine/>
    <w:qFormat/>
    <w:uiPriority w:val="0"/>
    <w:rPr>
      <w:rFonts w:ascii="Times New Roman" w:hAnsi="Times New Roman" w:eastAsia="仿宋" w:cs="Times New Roman"/>
      <w:kern w:val="0"/>
      <w:sz w:val="28"/>
      <w:szCs w:val="24"/>
    </w:rPr>
  </w:style>
  <w:style w:type="paragraph" w:customStyle="1" w:styleId="26">
    <w:name w:val="Lv3"/>
    <w:basedOn w:val="19"/>
    <w:next w:val="21"/>
    <w:link w:val="29"/>
    <w:autoRedefine/>
    <w:qFormat/>
    <w:uiPriority w:val="0"/>
    <w:pPr>
      <w:numPr>
        <w:ilvl w:val="2"/>
        <w:numId w:val="1"/>
      </w:numPr>
      <w:spacing w:line="360" w:lineRule="auto"/>
      <w:ind w:firstLineChars="0"/>
      <w:outlineLvl w:val="3"/>
    </w:pPr>
  </w:style>
  <w:style w:type="character" w:customStyle="1" w:styleId="27">
    <w:name w:val="Lv2 字符"/>
    <w:basedOn w:val="20"/>
    <w:link w:val="24"/>
    <w:autoRedefine/>
    <w:qFormat/>
    <w:uiPriority w:val="0"/>
    <w:rPr>
      <w:rFonts w:ascii="Times New Roman" w:hAnsi="Times New Roman" w:eastAsia="仿宋" w:cs="Times New Roman"/>
      <w:kern w:val="0"/>
      <w:sz w:val="28"/>
      <w:szCs w:val="24"/>
    </w:rPr>
  </w:style>
  <w:style w:type="paragraph" w:customStyle="1" w:styleId="28">
    <w:name w:val="Lv4"/>
    <w:basedOn w:val="19"/>
    <w:next w:val="21"/>
    <w:link w:val="31"/>
    <w:autoRedefine/>
    <w:qFormat/>
    <w:uiPriority w:val="0"/>
    <w:pPr>
      <w:numPr>
        <w:ilvl w:val="3"/>
        <w:numId w:val="1"/>
      </w:numPr>
      <w:spacing w:line="360" w:lineRule="auto"/>
      <w:ind w:firstLineChars="0"/>
      <w:outlineLvl w:val="4"/>
    </w:pPr>
  </w:style>
  <w:style w:type="character" w:customStyle="1" w:styleId="29">
    <w:name w:val="Lv3 字符"/>
    <w:basedOn w:val="20"/>
    <w:link w:val="26"/>
    <w:autoRedefine/>
    <w:qFormat/>
    <w:uiPriority w:val="0"/>
    <w:rPr>
      <w:rFonts w:ascii="Times New Roman" w:hAnsi="Times New Roman" w:eastAsia="仿宋" w:cs="Times New Roman"/>
      <w:kern w:val="0"/>
      <w:sz w:val="28"/>
      <w:szCs w:val="24"/>
    </w:rPr>
  </w:style>
  <w:style w:type="paragraph" w:customStyle="1" w:styleId="30">
    <w:name w:val="图注"/>
    <w:basedOn w:val="1"/>
    <w:next w:val="21"/>
    <w:link w:val="33"/>
    <w:autoRedefine/>
    <w:qFormat/>
    <w:uiPriority w:val="0"/>
    <w:pPr>
      <w:kinsoku/>
      <w:autoSpaceDE/>
      <w:autoSpaceDN/>
      <w:adjustRightInd/>
      <w:snapToGrid/>
      <w:spacing w:line="480" w:lineRule="exact"/>
      <w:jc w:val="center"/>
      <w:textAlignment w:val="auto"/>
    </w:pPr>
    <w:rPr>
      <w:rFonts w:ascii="Times New Roman" w:hAnsi="Times New Roman" w:eastAsia="黑体" w:cs="Times New Roman"/>
      <w:snapToGrid/>
      <w:color w:val="auto"/>
      <w:sz w:val="24"/>
      <w:szCs w:val="24"/>
    </w:rPr>
  </w:style>
  <w:style w:type="character" w:customStyle="1" w:styleId="31">
    <w:name w:val="Lv4 字符"/>
    <w:basedOn w:val="20"/>
    <w:link w:val="28"/>
    <w:autoRedefine/>
    <w:qFormat/>
    <w:uiPriority w:val="0"/>
    <w:rPr>
      <w:rFonts w:ascii="Times New Roman" w:hAnsi="Times New Roman" w:eastAsia="仿宋" w:cs="Times New Roman"/>
      <w:kern w:val="0"/>
      <w:sz w:val="28"/>
      <w:szCs w:val="24"/>
    </w:rPr>
  </w:style>
  <w:style w:type="paragraph" w:customStyle="1" w:styleId="32">
    <w:name w:val="标题1"/>
    <w:basedOn w:val="1"/>
    <w:next w:val="21"/>
    <w:link w:val="34"/>
    <w:autoRedefine/>
    <w:qFormat/>
    <w:uiPriority w:val="0"/>
    <w:pPr>
      <w:kinsoku/>
      <w:autoSpaceDE/>
      <w:autoSpaceDN/>
      <w:adjustRightInd/>
      <w:snapToGrid/>
      <w:spacing w:line="360" w:lineRule="auto"/>
      <w:textAlignment w:val="auto"/>
      <w:outlineLvl w:val="0"/>
    </w:pPr>
    <w:rPr>
      <w:rFonts w:ascii="黑体" w:hAnsi="黑体" w:eastAsia="黑体" w:cs="Times New Roman"/>
      <w:snapToGrid/>
      <w:color w:val="auto"/>
      <w:sz w:val="32"/>
      <w:szCs w:val="32"/>
    </w:rPr>
  </w:style>
  <w:style w:type="character" w:customStyle="1" w:styleId="33">
    <w:name w:val="图注 字符"/>
    <w:basedOn w:val="8"/>
    <w:link w:val="30"/>
    <w:autoRedefine/>
    <w:qFormat/>
    <w:uiPriority w:val="0"/>
    <w:rPr>
      <w:rFonts w:ascii="Times New Roman" w:hAnsi="Times New Roman" w:eastAsia="黑体" w:cs="Times New Roman"/>
      <w:kern w:val="0"/>
      <w:sz w:val="24"/>
      <w:szCs w:val="24"/>
    </w:rPr>
  </w:style>
  <w:style w:type="character" w:customStyle="1" w:styleId="34">
    <w:name w:val="标题1 字符"/>
    <w:basedOn w:val="8"/>
    <w:link w:val="32"/>
    <w:autoRedefine/>
    <w:qFormat/>
    <w:uiPriority w:val="0"/>
    <w:rPr>
      <w:rFonts w:ascii="黑体" w:hAnsi="黑体" w:eastAsia="黑体" w:cs="Times New Roman"/>
      <w:kern w:val="0"/>
      <w:sz w:val="32"/>
      <w:szCs w:val="32"/>
    </w:rPr>
  </w:style>
  <w:style w:type="table" w:customStyle="1" w:styleId="35">
    <w:name w:val="三线表"/>
    <w:basedOn w:val="6"/>
    <w:autoRedefine/>
    <w:qFormat/>
    <w:uiPriority w:val="99"/>
    <w:rPr>
      <w:rFonts w:eastAsia="仿宋"/>
    </w:rPr>
    <w:tblPr>
      <w:tblBorders>
        <w:top w:val="single" w:color="auto" w:sz="8" w:space="0"/>
        <w:bottom w:val="single" w:color="auto" w:sz="8" w:space="0"/>
      </w:tblBorders>
    </w:tblPr>
    <w:tblStylePr w:type="firstRow">
      <w:tcPr>
        <w:tcBorders>
          <w:top w:val="single" w:color="auto" w:sz="8" w:space="0"/>
          <w:left w:val="nil"/>
          <w:bottom w:val="single" w:color="auto" w:sz="4" w:space="0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36">
    <w:name w:val="页眉 字符"/>
    <w:basedOn w:val="8"/>
    <w:link w:val="4"/>
    <w:autoRedefine/>
    <w:qFormat/>
    <w:uiPriority w:val="99"/>
    <w:rPr>
      <w:rFonts w:ascii="Arial" w:hAnsi="Arial" w:eastAsia="Arial" w:cs="Arial"/>
      <w:snapToGrid w:val="0"/>
      <w:color w:val="000000"/>
      <w:kern w:val="0"/>
      <w:sz w:val="18"/>
      <w:szCs w:val="18"/>
    </w:rPr>
  </w:style>
  <w:style w:type="character" w:customStyle="1" w:styleId="37">
    <w:name w:val="页脚 字符"/>
    <w:basedOn w:val="8"/>
    <w:link w:val="3"/>
    <w:autoRedefine/>
    <w:qFormat/>
    <w:uiPriority w:val="99"/>
    <w:rPr>
      <w:rFonts w:ascii="Arial" w:hAnsi="Arial" w:eastAsia="Arial" w:cs="Arial"/>
      <w:snapToGrid w:val="0"/>
      <w:color w:val="000000"/>
      <w:kern w:val="0"/>
      <w:sz w:val="18"/>
      <w:szCs w:val="18"/>
    </w:rPr>
  </w:style>
  <w:style w:type="table" w:customStyle="1" w:styleId="38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9">
    <w:name w:val="wx"/>
    <w:basedOn w:val="8"/>
    <w:autoRedefine/>
    <w:qFormat/>
    <w:uiPriority w:val="0"/>
    <w:rPr>
      <w:vanish/>
    </w:rPr>
  </w:style>
  <w:style w:type="character" w:customStyle="1" w:styleId="40">
    <w:name w:val="wx1"/>
    <w:basedOn w:val="8"/>
    <w:autoRedefine/>
    <w:qFormat/>
    <w:uiPriority w:val="0"/>
  </w:style>
  <w:style w:type="character" w:customStyle="1" w:styleId="41">
    <w:name w:val="nth-child(4)"/>
    <w:basedOn w:val="8"/>
    <w:autoRedefine/>
    <w:qFormat/>
    <w:uiPriority w:val="0"/>
    <w:rPr>
      <w:vanish/>
    </w:rPr>
  </w:style>
  <w:style w:type="character" w:customStyle="1" w:styleId="42">
    <w:name w:val="layui-this"/>
    <w:basedOn w:val="8"/>
    <w:autoRedefine/>
    <w:qFormat/>
    <w:uiPriority w:val="0"/>
    <w:rPr>
      <w:bdr w:val="single" w:color="EEEEEE" w:sz="6" w:space="0"/>
      <w:shd w:val="clear" w:color="auto" w:fill="FFFFFF"/>
    </w:rPr>
  </w:style>
  <w:style w:type="character" w:customStyle="1" w:styleId="43">
    <w:name w:val="first-child"/>
    <w:basedOn w:val="8"/>
    <w:qFormat/>
    <w:uiPriority w:val="0"/>
  </w:style>
  <w:style w:type="character" w:customStyle="1" w:styleId="44">
    <w:name w:val="sjb"/>
    <w:basedOn w:val="8"/>
    <w:autoRedefine/>
    <w:qFormat/>
    <w:uiPriority w:val="0"/>
  </w:style>
  <w:style w:type="character" w:customStyle="1" w:styleId="45">
    <w:name w:val="nth-child(5)"/>
    <w:basedOn w:val="8"/>
    <w:autoRedefine/>
    <w:qFormat/>
    <w:uiPriority w:val="0"/>
    <w:rPr>
      <w:vanish/>
    </w:rPr>
  </w:style>
  <w:style w:type="paragraph" w:customStyle="1" w:styleId="46">
    <w:name w:val="Revision"/>
    <w:autoRedefine/>
    <w:hidden/>
    <w:unhideWhenUsed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1977</Words>
  <Characters>2125</Characters>
  <Lines>15</Lines>
  <Paragraphs>4</Paragraphs>
  <TotalTime>120</TotalTime>
  <ScaleCrop>false</ScaleCrop>
  <LinksUpToDate>false</LinksUpToDate>
  <CharactersWithSpaces>2129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2023-06-28T14:45:00Z</dcterms:created>
  <dc:creator>惠晨阳</dc:creator>
  <cp:lastModifiedBy>媛小co</cp:lastModifiedBy>
  <dcterms:modified xsi:type="dcterms:W3CDTF">2024-05-23T10:33:13Z</dcterms:modified>
  <dc:title>关于组织开展2023年度湖北省中医医术确有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FE927347342C4001BF73A83B15ADD0CD_13</vt:lpwstr>
  </property>
</Properties>
</file>