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cs="仿宋_GB2312"/>
          <w:b/>
          <w:bCs/>
          <w:color w:val="000000"/>
          <w:sz w:val="40"/>
          <w:szCs w:val="40"/>
        </w:rPr>
      </w:pPr>
    </w:p>
    <w:p>
      <w:pPr>
        <w:spacing w:line="360" w:lineRule="auto"/>
        <w:jc w:val="center"/>
        <w:rPr>
          <w:rFonts w:ascii="仿宋_GB2312" w:eastAsia="仿宋_GB2312" w:cs="仿宋_GB2312"/>
          <w:b/>
          <w:bCs/>
          <w:color w:val="000000"/>
          <w:sz w:val="40"/>
          <w:szCs w:val="40"/>
        </w:rPr>
      </w:pPr>
      <w:r>
        <w:rPr>
          <w:rFonts w:hint="eastAsia" w:ascii="仿宋_GB2312" w:eastAsia="仿宋_GB2312" w:cs="仿宋_GB2312"/>
          <w:b/>
          <w:bCs/>
          <w:color w:val="000000"/>
          <w:sz w:val="40"/>
          <w:szCs w:val="40"/>
        </w:rPr>
        <w:t xml:space="preserve">武汉市蔡甸区应急管理局 </w:t>
      </w:r>
    </w:p>
    <w:p>
      <w:pPr>
        <w:spacing w:line="360" w:lineRule="auto"/>
        <w:jc w:val="center"/>
        <w:rPr>
          <w:rFonts w:ascii="仿宋_GB2312" w:eastAsia="仿宋_GB2312"/>
          <w:b/>
          <w:bCs/>
          <w:color w:val="000000"/>
          <w:sz w:val="40"/>
          <w:szCs w:val="40"/>
        </w:rPr>
      </w:pPr>
      <w:r>
        <w:rPr>
          <w:rFonts w:ascii="仿宋_GB2312" w:eastAsia="仿宋_GB2312" w:cs="仿宋_GB2312"/>
          <w:b/>
          <w:bCs/>
          <w:color w:val="000000"/>
          <w:sz w:val="40"/>
          <w:szCs w:val="40"/>
        </w:rPr>
        <w:t>20</w:t>
      </w:r>
      <w:r>
        <w:rPr>
          <w:rFonts w:hint="eastAsia" w:ascii="仿宋_GB2312" w:eastAsia="仿宋_GB2312" w:cs="仿宋_GB2312"/>
          <w:b/>
          <w:bCs/>
          <w:color w:val="000000"/>
          <w:sz w:val="40"/>
          <w:szCs w:val="40"/>
        </w:rPr>
        <w:t>20年度整体绩效自评报告</w:t>
      </w:r>
    </w:p>
    <w:p>
      <w:pPr>
        <w:rPr>
          <w:rFonts w:ascii="仿宋_GB2312" w:eastAsia="仿宋_GB2312"/>
          <w:b/>
          <w:bCs/>
          <w:sz w:val="28"/>
          <w:szCs w:val="28"/>
        </w:rPr>
      </w:pPr>
      <w:bookmarkStart w:id="10" w:name="_GoBack"/>
      <w:bookmarkEnd w:id="10"/>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widowControl/>
        <w:spacing w:line="800" w:lineRule="exact"/>
        <w:ind w:right="-168" w:rightChars="-80" w:firstLine="646" w:firstLineChars="230"/>
        <w:jc w:val="left"/>
        <w:rPr>
          <w:rFonts w:ascii="仿宋_GB2312" w:eastAsia="仿宋_GB2312" w:cs="仿宋_GB2312"/>
          <w:b/>
          <w:bCs/>
          <w:kern w:val="32"/>
          <w:sz w:val="28"/>
          <w:szCs w:val="28"/>
        </w:rPr>
      </w:pPr>
    </w:p>
    <w:p>
      <w:pPr>
        <w:widowControl/>
        <w:spacing w:line="800" w:lineRule="exact"/>
        <w:ind w:right="-168" w:rightChars="-80" w:firstLine="646" w:firstLineChars="230"/>
        <w:jc w:val="left"/>
        <w:rPr>
          <w:rFonts w:ascii="仿宋_GB2312" w:eastAsia="仿宋_GB2312" w:cs="仿宋_GB2312"/>
          <w:b/>
          <w:bCs/>
          <w:kern w:val="32"/>
          <w:sz w:val="28"/>
          <w:szCs w:val="28"/>
        </w:rPr>
      </w:pPr>
      <w:r>
        <w:rPr>
          <w:rFonts w:hint="eastAsia" w:ascii="仿宋_GB2312" w:eastAsia="仿宋_GB2312" w:cs="仿宋_GB2312"/>
          <w:b/>
          <w:bCs/>
          <w:kern w:val="32"/>
          <w:sz w:val="28"/>
          <w:szCs w:val="28"/>
        </w:rPr>
        <w:t>项目名称：2020年度整体绩效</w:t>
      </w:r>
    </w:p>
    <w:p>
      <w:pPr>
        <w:widowControl/>
        <w:spacing w:line="800" w:lineRule="exact"/>
        <w:ind w:right="-168" w:rightChars="-80" w:firstLine="646"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项目编号：鄂正绩评字（</w:t>
      </w:r>
      <w:r>
        <w:rPr>
          <w:rFonts w:ascii="仿宋_GB2312" w:eastAsia="仿宋_GB2312" w:cs="仿宋_GB2312"/>
          <w:b/>
          <w:bCs/>
          <w:kern w:val="32"/>
          <w:sz w:val="28"/>
          <w:szCs w:val="28"/>
        </w:rPr>
        <w:t>202</w:t>
      </w:r>
      <w:r>
        <w:rPr>
          <w:rFonts w:hint="eastAsia" w:ascii="仿宋_GB2312" w:eastAsia="仿宋_GB2312" w:cs="仿宋_GB2312"/>
          <w:b/>
          <w:bCs/>
          <w:kern w:val="32"/>
          <w:sz w:val="28"/>
          <w:szCs w:val="28"/>
        </w:rPr>
        <w:t>1）</w:t>
      </w:r>
      <w:r>
        <w:rPr>
          <w:rFonts w:hint="eastAsia" w:ascii="仿宋_GB2312" w:eastAsia="仿宋_GB2312" w:cs="仿宋_GB2312"/>
          <w:b/>
          <w:bCs/>
          <w:kern w:val="32"/>
          <w:sz w:val="28"/>
          <w:szCs w:val="28"/>
          <w:highlight w:val="none"/>
        </w:rPr>
        <w:t>第</w:t>
      </w:r>
      <w:r>
        <w:rPr>
          <w:rFonts w:ascii="仿宋_GB2312" w:eastAsia="仿宋_GB2312" w:cs="仿宋_GB2312"/>
          <w:b/>
          <w:bCs/>
          <w:kern w:val="32"/>
          <w:sz w:val="28"/>
          <w:szCs w:val="28"/>
          <w:highlight w:val="none"/>
        </w:rPr>
        <w:t>J</w:t>
      </w:r>
      <w:r>
        <w:rPr>
          <w:rFonts w:hint="eastAsia" w:ascii="仿宋_GB2312" w:eastAsia="仿宋_GB2312" w:cs="仿宋_GB2312"/>
          <w:b/>
          <w:bCs/>
          <w:kern w:val="32"/>
          <w:sz w:val="28"/>
          <w:szCs w:val="28"/>
          <w:highlight w:val="none"/>
          <w:lang w:val="en-US" w:eastAsia="zh-CN"/>
        </w:rPr>
        <w:t>003</w:t>
      </w:r>
      <w:r>
        <w:rPr>
          <w:rFonts w:hint="eastAsia" w:ascii="仿宋_GB2312" w:eastAsia="仿宋_GB2312" w:cs="仿宋_GB2312"/>
          <w:b/>
          <w:bCs/>
          <w:kern w:val="32"/>
          <w:sz w:val="28"/>
          <w:szCs w:val="28"/>
          <w:highlight w:val="none"/>
        </w:rPr>
        <w:t>号</w:t>
      </w:r>
    </w:p>
    <w:p>
      <w:pPr>
        <w:widowControl/>
        <w:spacing w:line="800" w:lineRule="exact"/>
        <w:ind w:right="-168" w:rightChars="-80" w:firstLine="646"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项目单位：武汉市蔡甸区应急管理局</w:t>
      </w:r>
    </w:p>
    <w:p>
      <w:pPr>
        <w:widowControl/>
        <w:spacing w:line="800" w:lineRule="exact"/>
        <w:ind w:right="-168" w:rightChars="-80" w:firstLine="646" w:firstLineChars="230"/>
        <w:jc w:val="left"/>
        <w:rPr>
          <w:rFonts w:ascii="仿宋_GB2312" w:eastAsia="仿宋_GB2312" w:cs="仿宋_GB2312"/>
          <w:b/>
          <w:bCs/>
          <w:kern w:val="32"/>
          <w:sz w:val="28"/>
          <w:szCs w:val="28"/>
        </w:rPr>
      </w:pPr>
      <w:r>
        <w:rPr>
          <w:rFonts w:hint="eastAsia" w:ascii="仿宋_GB2312" w:eastAsia="仿宋_GB2312" w:cs="仿宋_GB2312"/>
          <w:b/>
          <w:bCs/>
          <w:kern w:val="32"/>
          <w:sz w:val="28"/>
          <w:szCs w:val="28"/>
        </w:rPr>
        <w:t>主</w:t>
      </w:r>
      <w:r>
        <w:rPr>
          <w:rFonts w:hint="eastAsia" w:ascii="仿宋_GB2312" w:eastAsia="仿宋_GB2312" w:cs="仿宋_GB2312"/>
          <w:b/>
          <w:bCs/>
          <w:kern w:val="32"/>
          <w:sz w:val="28"/>
          <w:szCs w:val="28"/>
          <w:highlight w:val="none"/>
        </w:rPr>
        <w:t>管部门：武汉市蔡甸区人民政府</w:t>
      </w:r>
    </w:p>
    <w:p>
      <w:pPr>
        <w:widowControl/>
        <w:spacing w:line="800" w:lineRule="exact"/>
        <w:ind w:right="-168" w:rightChars="-80" w:firstLine="3176" w:firstLineChars="1130"/>
        <w:rPr>
          <w:rFonts w:ascii="仿宋_GB2312" w:eastAsia="仿宋_GB2312" w:cs="仿宋_GB2312"/>
          <w:b/>
          <w:bCs/>
          <w:sz w:val="32"/>
          <w:szCs w:val="32"/>
        </w:rPr>
      </w:pPr>
      <w:r>
        <w:rPr>
          <w:rFonts w:ascii="仿宋_GB2312" w:eastAsia="仿宋_GB2312" w:cs="仿宋_GB2312"/>
          <w:b/>
          <w:bCs/>
          <w:kern w:val="32"/>
          <w:sz w:val="28"/>
          <w:szCs w:val="28"/>
        </w:rPr>
        <w:br w:type="page"/>
      </w:r>
      <w:r>
        <w:rPr>
          <w:rFonts w:hint="eastAsia" w:ascii="仿宋_GB2312" w:eastAsia="仿宋_GB2312" w:cs="仿宋_GB2312"/>
          <w:b/>
          <w:bCs/>
          <w:sz w:val="32"/>
          <w:szCs w:val="32"/>
        </w:rPr>
        <w:t>本次绩效结果</w:t>
      </w:r>
    </w:p>
    <w:p>
      <w:pPr>
        <w:spacing w:line="360" w:lineRule="auto"/>
        <w:ind w:firstLine="600" w:firstLineChars="200"/>
        <w:jc w:val="left"/>
        <w:rPr>
          <w:rFonts w:ascii="仿宋" w:eastAsia="仿宋" w:cs="Times New Roman"/>
          <w:sz w:val="30"/>
          <w:szCs w:val="30"/>
        </w:rPr>
      </w:pPr>
      <w:r>
        <w:rPr>
          <w:rFonts w:hint="eastAsia" w:ascii="仿宋" w:eastAsia="仿宋" w:cs="Times New Roman"/>
          <w:sz w:val="30"/>
          <w:szCs w:val="30"/>
        </w:rPr>
        <w:t>根据蔡甸区财政局组织开展财政支出绩效评价的工作安排，湖北正大会计师事务有限责任公司接受武汉市蔡甸区应急管理局的委托</w:t>
      </w:r>
      <w:r>
        <w:rPr>
          <w:rFonts w:ascii="仿宋" w:eastAsia="仿宋" w:cs="Times New Roman"/>
          <w:sz w:val="30"/>
          <w:szCs w:val="30"/>
        </w:rPr>
        <w:t>（以下简称：</w:t>
      </w:r>
      <w:r>
        <w:rPr>
          <w:rFonts w:hint="eastAsia" w:ascii="仿宋" w:eastAsia="仿宋" w:cs="Times New Roman"/>
          <w:sz w:val="30"/>
          <w:szCs w:val="30"/>
        </w:rPr>
        <w:t>区应急管理局</w:t>
      </w:r>
      <w:r>
        <w:rPr>
          <w:rFonts w:ascii="仿宋" w:eastAsia="仿宋" w:cs="Times New Roman"/>
          <w:sz w:val="30"/>
          <w:szCs w:val="30"/>
        </w:rPr>
        <w:t>）</w:t>
      </w:r>
      <w:r>
        <w:rPr>
          <w:rFonts w:hint="eastAsia" w:ascii="仿宋" w:eastAsia="仿宋" w:cs="Times New Roman"/>
          <w:sz w:val="30"/>
          <w:szCs w:val="30"/>
        </w:rPr>
        <w:t>，开展对区应急管理局“</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w:t>
      </w:r>
      <w:r>
        <w:rPr>
          <w:rFonts w:ascii="仿宋" w:eastAsia="仿宋" w:cs="Times New Roman"/>
          <w:sz w:val="30"/>
          <w:szCs w:val="30"/>
        </w:rPr>
        <w:t>评价工作</w:t>
      </w:r>
      <w:r>
        <w:rPr>
          <w:rFonts w:hint="eastAsia" w:ascii="仿宋" w:eastAsia="仿宋" w:cs="Times New Roman"/>
          <w:sz w:val="30"/>
          <w:szCs w:val="30"/>
        </w:rPr>
        <w:t>，通过绩效评价，调查了解区应急管理局“</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项目在资金投入和管理方面是否符合有关规定和要求，分析衡量项目资金使用的效率、效益和效果是否达到了预期目标，探索和改进项目资金管理方式，为以后年度类似项目的开展提供参考、积累经验。</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通过“</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度整体绩效”评价，区应急管理局较好完成年度绩效目标，有效做到区级财政资金、绩效评价、上级财政等核心概念。统一技术体系，规范流程。整体评价结果为“良</w:t>
      </w:r>
      <w:r>
        <w:rPr>
          <w:rFonts w:ascii="仿宋" w:eastAsia="仿宋" w:cs="Times New Roman"/>
          <w:sz w:val="30"/>
          <w:szCs w:val="30"/>
        </w:rPr>
        <w:t>好</w:t>
      </w:r>
      <w:r>
        <w:rPr>
          <w:rFonts w:hint="eastAsia" w:ascii="仿宋" w:eastAsia="仿宋" w:cs="Times New Roman"/>
          <w:sz w:val="30"/>
          <w:szCs w:val="30"/>
        </w:rPr>
        <w:t>”</w:t>
      </w:r>
      <w:r>
        <w:rPr>
          <w:rFonts w:ascii="仿宋" w:eastAsia="仿宋" w:cs="Times New Roman"/>
          <w:sz w:val="30"/>
          <w:szCs w:val="30"/>
        </w:rPr>
        <w:t>。</w:t>
      </w:r>
    </w:p>
    <w:p>
      <w:pPr>
        <w:widowControl/>
        <w:jc w:val="left"/>
        <w:rPr>
          <w:rFonts w:ascii="仿宋" w:eastAsia="仿宋" w:cs="Times New Roman"/>
          <w:sz w:val="30"/>
          <w:szCs w:val="30"/>
        </w:rPr>
      </w:pPr>
      <w:r>
        <w:rPr>
          <w:rFonts w:ascii="仿宋" w:eastAsia="仿宋" w:cs="Times New Roman"/>
          <w:sz w:val="30"/>
          <w:szCs w:val="30"/>
        </w:rPr>
        <w:t xml:space="preserve">  </w:t>
      </w:r>
      <w:r>
        <w:rPr>
          <w:rFonts w:hint="eastAsia" w:ascii="仿宋" w:eastAsia="仿宋" w:cs="Times New Roman"/>
          <w:sz w:val="30"/>
          <w:szCs w:val="30"/>
        </w:rPr>
        <w:t xml:space="preserve"> </w:t>
      </w:r>
    </w:p>
    <w:p>
      <w:pPr>
        <w:widowControl/>
        <w:jc w:val="left"/>
        <w:rPr>
          <w:rFonts w:ascii="仿宋" w:eastAsia="仿宋" w:cs="Times New Roman"/>
          <w:sz w:val="30"/>
          <w:szCs w:val="30"/>
        </w:rPr>
      </w:pPr>
    </w:p>
    <w:p>
      <w:pPr>
        <w:widowControl/>
        <w:jc w:val="left"/>
        <w:rPr>
          <w:rFonts w:ascii="仿宋" w:eastAsia="仿宋" w:cs="Times New Roman"/>
          <w:sz w:val="30"/>
          <w:szCs w:val="30"/>
        </w:rPr>
      </w:pPr>
    </w:p>
    <w:p>
      <w:pPr>
        <w:widowControl/>
        <w:jc w:val="left"/>
        <w:rPr>
          <w:rFonts w:ascii="仿宋" w:eastAsia="仿宋" w:cs="Times New Roman"/>
          <w:sz w:val="30"/>
          <w:szCs w:val="30"/>
        </w:rPr>
      </w:pPr>
    </w:p>
    <w:p>
      <w:pPr>
        <w:spacing w:line="360" w:lineRule="auto"/>
        <w:ind w:firstLine="600" w:firstLineChars="200"/>
        <w:jc w:val="center"/>
        <w:rPr>
          <w:rFonts w:ascii="仿宋" w:eastAsia="仿宋" w:cs="Times New Roman"/>
          <w:sz w:val="30"/>
          <w:szCs w:val="30"/>
        </w:rPr>
      </w:pPr>
      <w:r>
        <w:rPr>
          <w:rFonts w:hint="eastAsia" w:ascii="仿宋" w:eastAsia="仿宋" w:cs="Times New Roman"/>
          <w:sz w:val="30"/>
          <w:szCs w:val="30"/>
        </w:rPr>
        <w:t>评价工作组</w:t>
      </w:r>
    </w:p>
    <w:p>
      <w:pPr>
        <w:spacing w:line="360" w:lineRule="auto"/>
        <w:ind w:firstLine="600" w:firstLineChars="200"/>
        <w:jc w:val="left"/>
        <w:rPr>
          <w:rFonts w:ascii="仿宋" w:eastAsia="仿宋" w:cs="Times New Roman"/>
          <w:sz w:val="30"/>
          <w:szCs w:val="30"/>
        </w:rPr>
      </w:pPr>
      <w:r>
        <w:rPr>
          <w:rFonts w:hint="eastAsia" w:ascii="仿宋" w:eastAsia="仿宋" w:cs="Times New Roman"/>
          <w:sz w:val="30"/>
          <w:szCs w:val="30"/>
        </w:rPr>
        <w:t>组长：段建武</w:t>
      </w:r>
    </w:p>
    <w:p>
      <w:pPr>
        <w:spacing w:line="360" w:lineRule="auto"/>
        <w:ind w:firstLine="600" w:firstLineChars="200"/>
        <w:jc w:val="left"/>
        <w:rPr>
          <w:rFonts w:ascii="仿宋" w:eastAsia="仿宋" w:cs="Times New Roman"/>
          <w:sz w:val="30"/>
          <w:szCs w:val="30"/>
        </w:rPr>
      </w:pPr>
      <w:r>
        <w:rPr>
          <w:rFonts w:hint="eastAsia" w:ascii="仿宋" w:eastAsia="仿宋" w:cs="Times New Roman"/>
          <w:sz w:val="30"/>
          <w:szCs w:val="30"/>
        </w:rPr>
        <w:t>评价小组成员：</w:t>
      </w:r>
      <w:bookmarkStart w:id="0" w:name="_Toc532223567"/>
      <w:r>
        <w:rPr>
          <w:rFonts w:hint="eastAsia" w:ascii="仿宋" w:eastAsia="仿宋" w:cs="Times New Roman"/>
          <w:sz w:val="30"/>
          <w:szCs w:val="30"/>
        </w:rPr>
        <w:t>张蓉、陶余梦、李甜</w:t>
      </w:r>
    </w:p>
    <w:p>
      <w:pPr>
        <w:spacing w:line="360" w:lineRule="auto"/>
        <w:rPr>
          <w:rFonts w:ascii="仿宋_GB2312" w:eastAsia="仿宋_GB2312" w:cs="仿宋_GB2312"/>
          <w:b/>
          <w:bCs/>
          <w:sz w:val="44"/>
          <w:szCs w:val="44"/>
        </w:rPr>
      </w:pPr>
    </w:p>
    <w:p>
      <w:pPr>
        <w:pStyle w:val="2"/>
      </w:pPr>
    </w:p>
    <w:p/>
    <w:p>
      <w:pPr>
        <w:spacing w:line="360" w:lineRule="auto"/>
        <w:jc w:val="center"/>
        <w:outlineLvl w:val="0"/>
        <w:rPr>
          <w:rFonts w:ascii="仿宋_GB2312" w:eastAsia="仿宋_GB2312"/>
          <w:b/>
          <w:bCs/>
          <w:sz w:val="44"/>
          <w:szCs w:val="44"/>
        </w:rPr>
      </w:pPr>
      <w:r>
        <w:rPr>
          <w:rFonts w:hint="eastAsia" w:ascii="仿宋_GB2312" w:eastAsia="仿宋_GB2312" w:cs="仿宋_GB2312"/>
          <w:b/>
          <w:bCs/>
          <w:sz w:val="44"/>
          <w:szCs w:val="44"/>
        </w:rPr>
        <w:t>摘</w:t>
      </w:r>
      <w:r>
        <w:rPr>
          <w:rFonts w:hint="eastAsia" w:ascii="仿宋_GB2312" w:eastAsia="仿宋_GB2312" w:cs="Arial Narrow"/>
          <w:b/>
          <w:bCs/>
          <w:sz w:val="44"/>
          <w:szCs w:val="44"/>
        </w:rPr>
        <w:t xml:space="preserve">  </w:t>
      </w:r>
      <w:r>
        <w:rPr>
          <w:rFonts w:hint="eastAsia" w:ascii="仿宋_GB2312" w:eastAsia="仿宋_GB2312" w:cs="仿宋_GB2312"/>
          <w:b/>
          <w:bCs/>
          <w:sz w:val="44"/>
          <w:szCs w:val="44"/>
        </w:rPr>
        <w:t>要</w:t>
      </w:r>
      <w:bookmarkEnd w:id="0"/>
    </w:p>
    <w:p>
      <w:pPr>
        <w:spacing w:line="560" w:lineRule="exact"/>
        <w:ind w:firstLine="626" w:firstLineChars="195"/>
        <w:rPr>
          <w:rFonts w:ascii="仿宋" w:eastAsia="仿宋" w:cs="仿宋_GB2312"/>
          <w:b/>
          <w:bCs/>
          <w:color w:val="4C5157"/>
          <w:kern w:val="0"/>
          <w:sz w:val="32"/>
          <w:szCs w:val="32"/>
        </w:rPr>
      </w:pPr>
      <w:r>
        <w:rPr>
          <w:rFonts w:hint="eastAsia" w:ascii="仿宋" w:eastAsia="仿宋" w:cs="仿宋_GB2312"/>
          <w:b/>
          <w:bCs/>
          <w:color w:val="4C5157"/>
          <w:kern w:val="0"/>
          <w:sz w:val="32"/>
          <w:szCs w:val="32"/>
        </w:rPr>
        <w:t>概述</w:t>
      </w:r>
    </w:p>
    <w:p>
      <w:pPr>
        <w:spacing w:line="360" w:lineRule="auto"/>
        <w:ind w:firstLine="600" w:firstLineChars="200"/>
        <w:rPr>
          <w:rFonts w:ascii="仿宋" w:eastAsia="仿宋" w:cs="Times New Roman"/>
          <w:sz w:val="30"/>
          <w:szCs w:val="30"/>
        </w:rPr>
      </w:pPr>
      <w:bookmarkStart w:id="1" w:name="_Hlk40363032"/>
      <w:r>
        <w:rPr>
          <w:rFonts w:hint="eastAsia" w:ascii="仿宋" w:eastAsia="仿宋" w:cs="Times New Roman"/>
          <w:sz w:val="30"/>
          <w:szCs w:val="30"/>
        </w:rPr>
        <w:t>为落实中央政策，进一步深化预算体制改革，切实加强财政资金的管理，充分发挥财政资金的使用效益，湖北正大会计师事务有限责任公司组织成立评价小组，评价小组根据《中华人民共和国预算法》、《湖北省人民代表大会常务委员会关于进一步推进预算绩效管理的决定》、《蔡甸区财政局关于印发&lt;全面实施预算绩效管理系列制度&gt;的通知》（蔡财［2020］8号）、《蔡甸区财政局关于开展2021年区级财政支出绩效评价工作的通知》（蔡财［2021］1号）等要求，秉承第三方评价应遵循的独立、客观、公平、公正原则，实施了必要的评价程序，完成了区应急管理局“</w:t>
      </w:r>
      <w:r>
        <w:rPr>
          <w:rFonts w:ascii="仿宋" w:eastAsia="仿宋" w:cs="Times New Roman"/>
          <w:sz w:val="30"/>
          <w:szCs w:val="30"/>
        </w:rPr>
        <w:t>20</w:t>
      </w:r>
      <w:r>
        <w:rPr>
          <w:rFonts w:hint="eastAsia" w:ascii="仿宋" w:eastAsia="仿宋" w:cs="Times New Roman"/>
          <w:sz w:val="30"/>
          <w:szCs w:val="30"/>
        </w:rPr>
        <w:t>20年度整体绩效”评价的产出指标、效益指标、满意度指标的绩效评价工作，并撰写区应急管理局“2020年度整体绩效”评价报告。</w:t>
      </w:r>
    </w:p>
    <w:bookmarkEnd w:id="1"/>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9"/>
        <w:spacing w:after="120" w:afterAutospacing="0"/>
        <w:ind w:left="900"/>
        <w:jc w:val="both"/>
        <w:rPr>
          <w:rFonts w:ascii="仿宋" w:eastAsia="仿宋" w:cs="仿宋_GB2312"/>
          <w:color w:val="4C5157"/>
          <w:sz w:val="32"/>
          <w:szCs w:val="32"/>
        </w:rPr>
      </w:pPr>
    </w:p>
    <w:p>
      <w:pPr>
        <w:pStyle w:val="10"/>
        <w:spacing w:before="0" w:after="0"/>
        <w:jc w:val="both"/>
        <w:outlineLvl w:val="9"/>
        <w:rPr>
          <w:rFonts w:ascii="仿宋" w:eastAsia="仿宋"/>
          <w:color w:val="000000"/>
          <w:sz w:val="40"/>
          <w:szCs w:val="36"/>
        </w:rPr>
      </w:pP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一、</w:t>
      </w:r>
      <w:bookmarkStart w:id="2" w:name="_Hlk10728951"/>
      <w:r>
        <w:rPr>
          <w:rFonts w:hint="eastAsia" w:ascii="黑体" w:eastAsia="黑体" w:cs="Times New Roman"/>
          <w:bCs/>
          <w:color w:val="000000"/>
          <w:sz w:val="30"/>
          <w:szCs w:val="30"/>
        </w:rPr>
        <w:t>绩效目标完成情况</w:t>
      </w:r>
      <w:bookmarkEnd w:id="2"/>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1.执行率情况</w:t>
      </w:r>
    </w:p>
    <w:p>
      <w:pPr>
        <w:spacing w:line="360" w:lineRule="auto"/>
        <w:ind w:firstLine="600" w:firstLineChars="200"/>
        <w:rPr>
          <w:rFonts w:hint="eastAsia" w:ascii="仿宋" w:eastAsia="仿宋" w:cs="Times New Roman"/>
          <w:sz w:val="30"/>
          <w:szCs w:val="30"/>
        </w:rPr>
      </w:pPr>
      <w:r>
        <w:rPr>
          <w:rFonts w:hint="eastAsia" w:ascii="仿宋" w:eastAsia="仿宋" w:cs="Times New Roman"/>
          <w:sz w:val="30"/>
          <w:szCs w:val="30"/>
        </w:rPr>
        <w:t>区应急管理局2020年度部门年初预算收入(一般公共预算财政拨款收入)1,211.99 万元，调整预算数3,917.74万元,其中：调整一般公共预算财政拨款收入3,371.39万元，调整其他收入231.49万元，调整年初结转和结余314.86万元。实际预算支出3,628.22万元。其中：基本支出3,167.14万元，项目支出461.08万元。年末结转和结余289.52万元，执行</w:t>
      </w:r>
      <w:r>
        <w:rPr>
          <w:rFonts w:hint="eastAsia" w:ascii="仿宋" w:eastAsia="仿宋" w:cs="Times New Roman"/>
          <w:sz w:val="30"/>
          <w:szCs w:val="30"/>
          <w:highlight w:val="none"/>
        </w:rPr>
        <w:t>率</w:t>
      </w:r>
      <w:r>
        <w:rPr>
          <w:rFonts w:hint="eastAsia" w:ascii="仿宋" w:eastAsia="仿宋" w:cs="Times New Roman"/>
          <w:sz w:val="30"/>
          <w:szCs w:val="30"/>
          <w:highlight w:val="none"/>
          <w:lang w:eastAsia="zh-CN"/>
        </w:rPr>
        <w:t>299.36%</w:t>
      </w:r>
      <w:r>
        <w:rPr>
          <w:rFonts w:hint="eastAsia" w:ascii="仿宋" w:eastAsia="仿宋" w:cs="Times New Roman"/>
          <w:sz w:val="30"/>
          <w:szCs w:val="30"/>
          <w:highlight w:val="none"/>
        </w:rPr>
        <w:t>。</w:t>
      </w:r>
      <w:r>
        <w:rPr>
          <w:rFonts w:hint="eastAsia" w:ascii="仿宋" w:eastAsia="仿宋" w:cs="Times New Roman"/>
          <w:sz w:val="30"/>
          <w:szCs w:val="30"/>
        </w:rPr>
        <w:t>明细如下：</w:t>
      </w:r>
    </w:p>
    <w:p>
      <w:pPr>
        <w:pStyle w:val="2"/>
        <w:ind w:firstLine="562"/>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部门整体</w:t>
      </w:r>
      <w:r>
        <w:rPr>
          <w:rFonts w:hint="eastAsia" w:ascii="仿宋" w:hAnsi="仿宋" w:eastAsia="仿宋" w:cs="宋体"/>
          <w:b/>
          <w:bCs/>
          <w:color w:val="000000"/>
          <w:kern w:val="0"/>
          <w:sz w:val="28"/>
          <w:szCs w:val="28"/>
          <w:lang w:eastAsia="zh-CN"/>
        </w:rPr>
        <w:t>决</w:t>
      </w:r>
      <w:r>
        <w:rPr>
          <w:rFonts w:hint="eastAsia" w:ascii="仿宋" w:hAnsi="仿宋" w:eastAsia="仿宋" w:cs="宋体"/>
          <w:b/>
          <w:bCs/>
          <w:color w:val="000000"/>
          <w:kern w:val="0"/>
          <w:sz w:val="28"/>
          <w:szCs w:val="28"/>
        </w:rPr>
        <w:t>算</w:t>
      </w:r>
      <w:r>
        <w:rPr>
          <w:rFonts w:hint="eastAsia" w:ascii="仿宋" w:hAnsi="仿宋" w:eastAsia="仿宋" w:cs="宋体"/>
          <w:b/>
          <w:bCs/>
          <w:color w:val="000000"/>
          <w:kern w:val="0"/>
          <w:sz w:val="28"/>
          <w:szCs w:val="28"/>
          <w:lang w:eastAsia="zh-CN"/>
        </w:rPr>
        <w:t>收入</w:t>
      </w:r>
      <w:r>
        <w:rPr>
          <w:rFonts w:hint="eastAsia" w:ascii="仿宋" w:hAnsi="仿宋" w:eastAsia="仿宋" w:cs="宋体"/>
          <w:b/>
          <w:bCs/>
          <w:color w:val="000000"/>
          <w:kern w:val="0"/>
          <w:sz w:val="28"/>
          <w:szCs w:val="28"/>
        </w:rPr>
        <w:t>明细表</w:t>
      </w:r>
    </w:p>
    <w:tbl>
      <w:tblPr>
        <w:tblStyle w:val="11"/>
        <w:tblW w:w="5247" w:type="pct"/>
        <w:tblInd w:w="0" w:type="dxa"/>
        <w:tblLayout w:type="autofit"/>
        <w:tblCellMar>
          <w:top w:w="0" w:type="dxa"/>
          <w:left w:w="108" w:type="dxa"/>
          <w:bottom w:w="0" w:type="dxa"/>
          <w:right w:w="108" w:type="dxa"/>
        </w:tblCellMar>
      </w:tblPr>
      <w:tblGrid>
        <w:gridCol w:w="3576"/>
        <w:gridCol w:w="1789"/>
        <w:gridCol w:w="1789"/>
        <w:gridCol w:w="1789"/>
      </w:tblGrid>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年初预算数</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调整预算数</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一、一般公共预算财政拨款收入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12,119,927.93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33,713,886.81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33,713,886.81</w:t>
            </w:r>
          </w:p>
        </w:tc>
      </w:tr>
      <w:tr>
        <w:tblPrEx>
          <w:tblCellMar>
            <w:top w:w="0" w:type="dxa"/>
            <w:left w:w="108" w:type="dxa"/>
            <w:bottom w:w="0" w:type="dxa"/>
            <w:right w:w="108" w:type="dxa"/>
          </w:tblCellMar>
        </w:tblPrEx>
        <w:trPr>
          <w:trHeight w:val="450"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二、其他收入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2,314,912.78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2,314,912.78</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其中：财政收入结余</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2,155,650.00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2,155,650.00</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非财政收入结余</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159,262.78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159,262.78</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三、年初结转和结余</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3,148,553.69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3,148,553.69</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szCs w:val="24"/>
              </w:rPr>
            </w:pPr>
            <w:r>
              <w:rPr>
                <w:rFonts w:hint="eastAsia" w:ascii="仿宋" w:hAnsi="仿宋" w:eastAsia="仿宋" w:cs="宋体"/>
                <w:b/>
                <w:bCs/>
                <w:color w:val="000000"/>
                <w:kern w:val="0"/>
                <w:sz w:val="24"/>
                <w:szCs w:val="24"/>
              </w:rPr>
              <w:t>合计</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12,119,927.93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39,177,353.28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39,177,353.28</w:t>
            </w:r>
          </w:p>
        </w:tc>
      </w:tr>
    </w:tbl>
    <w:p>
      <w:pPr>
        <w:ind w:firstLine="600" w:firstLineChars="200"/>
        <w:outlineLvl w:val="0"/>
        <w:rPr>
          <w:rFonts w:hint="eastAsia" w:ascii="仿宋" w:eastAsia="仿宋" w:cs="Times New Roman"/>
          <w:sz w:val="30"/>
          <w:szCs w:val="30"/>
          <w:highlight w:val="none"/>
        </w:rPr>
      </w:pPr>
      <w:r>
        <w:rPr>
          <w:rFonts w:hint="eastAsia" w:ascii="仿宋" w:eastAsia="仿宋" w:cs="Times New Roman"/>
          <w:sz w:val="30"/>
          <w:szCs w:val="30"/>
          <w:highlight w:val="none"/>
        </w:rPr>
        <w:t>注：其他收入231.49万元（含财政收入结转和结余215.56万元，非财政收入结转和结余15.93万元）。</w:t>
      </w:r>
    </w:p>
    <w:p>
      <w:pPr>
        <w:pStyle w:val="2"/>
        <w:ind w:firstLine="562"/>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部门整体</w:t>
      </w:r>
      <w:r>
        <w:rPr>
          <w:rFonts w:hint="eastAsia" w:ascii="仿宋" w:hAnsi="仿宋" w:eastAsia="仿宋" w:cs="宋体"/>
          <w:b/>
          <w:bCs/>
          <w:color w:val="000000"/>
          <w:kern w:val="0"/>
          <w:sz w:val="28"/>
          <w:szCs w:val="28"/>
          <w:lang w:eastAsia="zh-CN"/>
        </w:rPr>
        <w:t>决</w:t>
      </w:r>
      <w:r>
        <w:rPr>
          <w:rFonts w:hint="eastAsia" w:ascii="仿宋" w:hAnsi="仿宋" w:eastAsia="仿宋" w:cs="宋体"/>
          <w:b/>
          <w:bCs/>
          <w:color w:val="000000"/>
          <w:kern w:val="0"/>
          <w:sz w:val="28"/>
          <w:szCs w:val="28"/>
        </w:rPr>
        <w:t>算</w:t>
      </w:r>
      <w:r>
        <w:rPr>
          <w:rFonts w:hint="eastAsia" w:ascii="仿宋" w:hAnsi="仿宋" w:eastAsia="仿宋" w:cs="宋体"/>
          <w:b/>
          <w:bCs/>
          <w:color w:val="000000"/>
          <w:kern w:val="0"/>
          <w:sz w:val="28"/>
          <w:szCs w:val="28"/>
          <w:lang w:eastAsia="zh-CN"/>
        </w:rPr>
        <w:t>支出</w:t>
      </w:r>
      <w:r>
        <w:rPr>
          <w:rFonts w:hint="eastAsia" w:ascii="仿宋" w:hAnsi="仿宋" w:eastAsia="仿宋" w:cs="宋体"/>
          <w:b/>
          <w:bCs/>
          <w:color w:val="000000"/>
          <w:kern w:val="0"/>
          <w:sz w:val="28"/>
          <w:szCs w:val="28"/>
        </w:rPr>
        <w:t>明细表</w:t>
      </w:r>
    </w:p>
    <w:tbl>
      <w:tblPr>
        <w:tblStyle w:val="11"/>
        <w:tblW w:w="5247" w:type="pct"/>
        <w:tblInd w:w="0" w:type="dxa"/>
        <w:tblLayout w:type="autofit"/>
        <w:tblCellMar>
          <w:top w:w="0" w:type="dxa"/>
          <w:left w:w="108" w:type="dxa"/>
          <w:bottom w:w="0" w:type="dxa"/>
          <w:right w:w="108" w:type="dxa"/>
        </w:tblCellMar>
      </w:tblPr>
      <w:tblGrid>
        <w:gridCol w:w="3576"/>
        <w:gridCol w:w="1789"/>
        <w:gridCol w:w="1789"/>
        <w:gridCol w:w="1789"/>
      </w:tblGrid>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年初预算数</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调整预算数</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一、基本支出</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6,539,927.93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31,671,378.65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31,671,378.65</w:t>
            </w:r>
          </w:p>
        </w:tc>
      </w:tr>
      <w:tr>
        <w:tblPrEx>
          <w:tblCellMar>
            <w:top w:w="0" w:type="dxa"/>
            <w:left w:w="108" w:type="dxa"/>
            <w:bottom w:w="0" w:type="dxa"/>
            <w:right w:w="108" w:type="dxa"/>
          </w:tblCellMar>
        </w:tblPrEx>
        <w:trPr>
          <w:trHeight w:val="450"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      人员经费</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6,002,871.21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6,277,682.02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6,277,682.02</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      公用经费</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537,056.72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25,393,696.63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25,393,696.63</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4"/>
                <w:szCs w:val="24"/>
                <w:lang w:val="en-US" w:eastAsia="zh-CN" w:bidi="ar"/>
              </w:rPr>
              <w:t>二、项目支出</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5,580,000.00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4,610,770.94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4,610,770.94</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三、年末结转和结余</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2,895,203.69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2,895,203.69</w:t>
            </w:r>
          </w:p>
        </w:tc>
      </w:tr>
      <w:tr>
        <w:tblPrEx>
          <w:tblCellMar>
            <w:top w:w="0" w:type="dxa"/>
            <w:left w:w="108" w:type="dxa"/>
            <w:bottom w:w="0" w:type="dxa"/>
            <w:right w:w="108" w:type="dxa"/>
          </w:tblCellMar>
        </w:tblPrEx>
        <w:trPr>
          <w:trHeight w:val="448" w:hRule="atLeast"/>
        </w:trPr>
        <w:tc>
          <w:tcPr>
            <w:tcW w:w="1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szCs w:val="24"/>
              </w:rPr>
            </w:pPr>
            <w:r>
              <w:rPr>
                <w:rFonts w:hint="eastAsia" w:ascii="仿宋" w:hAnsi="仿宋" w:eastAsia="仿宋" w:cs="宋体"/>
                <w:b/>
                <w:bCs/>
                <w:color w:val="000000"/>
                <w:kern w:val="0"/>
                <w:sz w:val="24"/>
                <w:szCs w:val="24"/>
              </w:rPr>
              <w:t>合计</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12,119,927.93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39,177,353.28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39,177,353.28</w:t>
            </w:r>
          </w:p>
        </w:tc>
      </w:tr>
    </w:tbl>
    <w:p>
      <w:pPr>
        <w:pStyle w:val="2"/>
        <w:rPr>
          <w:rFonts w:hint="eastAsia"/>
        </w:rPr>
      </w:pP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2.完成的绩效目标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区应急管理局紧紧围绕中心开展2020年度绩效目标各项工作任务。通过评价各个绩效目标，均完成年度绩效目标任务。</w:t>
      </w:r>
    </w:p>
    <w:p>
      <w:pPr>
        <w:pStyle w:val="2"/>
        <w:ind w:left="0" w:leftChars="0" w:firstLine="0" w:firstLineChars="0"/>
        <w:rPr>
          <w:rFonts w:ascii="仿宋" w:eastAsia="仿宋" w:cs="Times New Roman"/>
          <w:sz w:val="30"/>
          <w:szCs w:val="30"/>
        </w:rPr>
      </w:pPr>
      <w:r>
        <w:rPr>
          <w:rFonts w:hint="eastAsia" w:ascii="仿宋" w:eastAsia="仿宋" w:cs="Times New Roman"/>
          <w:sz w:val="30"/>
          <w:szCs w:val="30"/>
        </w:rPr>
        <w:t xml:space="preserve">    年度绩效目标：1.紧盯“一无一降”目标，严格落实安全生产责任制，健全完善风险管控和隐患排查治理双重预防机制，坚决守住安全生产底线；2.规范执法行为，落实行政执法三项制度，年度执法计划完成率和行政处罚案件法定规定期限内办结率100%；3.</w:t>
      </w:r>
      <w:r>
        <w:rPr>
          <w:rFonts w:hint="eastAsia"/>
        </w:rPr>
        <w:t xml:space="preserve"> </w:t>
      </w:r>
      <w:r>
        <w:rPr>
          <w:rFonts w:hint="eastAsia" w:ascii="仿宋" w:eastAsia="仿宋" w:cs="Times New Roman"/>
          <w:sz w:val="30"/>
          <w:szCs w:val="30"/>
        </w:rPr>
        <w:t>全面开展全区安全生产专项整治三年行动，组织开展安全生产事故调查和处理，重大安全隐患按期整改完成率100%；4.</w:t>
      </w:r>
      <w:r>
        <w:rPr>
          <w:rFonts w:hint="eastAsia"/>
        </w:rPr>
        <w:t xml:space="preserve"> </w:t>
      </w:r>
      <w:r>
        <w:rPr>
          <w:rFonts w:hint="eastAsia" w:ascii="仿宋" w:eastAsia="仿宋" w:cs="Times New Roman"/>
          <w:sz w:val="30"/>
          <w:szCs w:val="30"/>
        </w:rPr>
        <w:t>加快构建应急管理体制，完成有关应急预案修订工作；创建省级综合减灾示范社区1个、市级综合减灾示范社区1个；提高防灾减灾救灾能力，全区较大以上安全生产和自然灾害事故应急处置率达到100%；5.</w:t>
      </w:r>
      <w:r>
        <w:rPr>
          <w:rFonts w:hint="eastAsia"/>
        </w:rPr>
        <w:t xml:space="preserve"> </w:t>
      </w:r>
      <w:r>
        <w:rPr>
          <w:rFonts w:hint="eastAsia" w:ascii="仿宋" w:eastAsia="仿宋" w:cs="Times New Roman"/>
          <w:sz w:val="30"/>
          <w:szCs w:val="30"/>
        </w:rPr>
        <w:t>加强应急指挥信息化建设，着力提升区级应急管理水平；全年开展安全生产类、自然灾害类应急演练2次以上；6.组织企业负责人和安全管理人员参加安全管理知识培训，培训人数不得少于300人；7.对安全生产领域失信行为开展联合惩戒，对生产经营单位及其有关人员存在失信行为和应纳入“黑名单”管理的，及时纳入联合惩戒和“黑名单”管理信息；8. 及时办理安全生产举报投诉案件及群众信访投诉件，案件办结率100%，回告率100%；9. 脱贫攻坚；中央、省生态环保督察反馈问题整改；三级政务服务体系建设。实际完成值达到年初目标值，部分项目超过年初目标值。经济效益显著。</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3.未完成的绩效目标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应急管理局较好完成2020年度部门预算及8个项目绩效目标，年度目标7“对安全生产领域失信行为开展联合惩戒，对生产经营单位及其有关人员存在失信行为和应纳入“黑名单”管理的，及时纳入联合惩戒和“黑名单”管理信息”，由于今年生产经营单位及有关人员暂未出现纳入“黑名单”管理的情形导致该指标未完成。整体完成较好。</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二、绩效目标完成情况分析</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1.预算执行情况分析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①预算完成情况</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区应急管理局2020年度部门年初预算收入(一般公共预算财政拨款收入)1,211.99 万元，调整预算数3,917.74万元,其中：调整一般公共预算财政拨款收入3,371.39万元，调整其他收入231.49万元，调整年初结转和结余314.86万元。实际预算支出3,628.22万元。其中：基本支出3,167.14万元，项目支出461.08万元。年末结转和结余289.52万元</w:t>
      </w:r>
      <w:r>
        <w:rPr>
          <w:rFonts w:hint="eastAsia" w:ascii="仿宋" w:eastAsia="仿宋" w:cs="Times New Roman"/>
          <w:sz w:val="30"/>
          <w:szCs w:val="30"/>
          <w:highlight w:val="none"/>
        </w:rPr>
        <w:t>。明细如下：</w:t>
      </w:r>
    </w:p>
    <w:p>
      <w:pPr>
        <w:pStyle w:val="2"/>
        <w:ind w:firstLine="562"/>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部门整体</w:t>
      </w:r>
      <w:r>
        <w:rPr>
          <w:rFonts w:hint="eastAsia" w:ascii="仿宋" w:hAnsi="仿宋" w:eastAsia="仿宋" w:cs="宋体"/>
          <w:b/>
          <w:bCs/>
          <w:color w:val="000000"/>
          <w:kern w:val="0"/>
          <w:sz w:val="28"/>
          <w:szCs w:val="28"/>
          <w:lang w:eastAsia="zh-CN"/>
        </w:rPr>
        <w:t>决</w:t>
      </w:r>
      <w:r>
        <w:rPr>
          <w:rFonts w:hint="eastAsia" w:ascii="仿宋" w:hAnsi="仿宋" w:eastAsia="仿宋" w:cs="宋体"/>
          <w:b/>
          <w:bCs/>
          <w:color w:val="000000"/>
          <w:kern w:val="0"/>
          <w:sz w:val="28"/>
          <w:szCs w:val="28"/>
        </w:rPr>
        <w:t>算</w:t>
      </w:r>
      <w:r>
        <w:rPr>
          <w:rFonts w:hint="eastAsia" w:ascii="仿宋" w:hAnsi="仿宋" w:eastAsia="仿宋" w:cs="宋体"/>
          <w:b/>
          <w:bCs/>
          <w:color w:val="000000"/>
          <w:kern w:val="0"/>
          <w:sz w:val="28"/>
          <w:szCs w:val="28"/>
          <w:lang w:eastAsia="zh-CN"/>
        </w:rPr>
        <w:t>收入</w:t>
      </w:r>
      <w:r>
        <w:rPr>
          <w:rFonts w:hint="eastAsia" w:ascii="仿宋" w:hAnsi="仿宋" w:eastAsia="仿宋" w:cs="宋体"/>
          <w:b/>
          <w:bCs/>
          <w:color w:val="000000"/>
          <w:kern w:val="0"/>
          <w:sz w:val="28"/>
          <w:szCs w:val="28"/>
        </w:rPr>
        <w:t>明细表</w:t>
      </w:r>
    </w:p>
    <w:tbl>
      <w:tblPr>
        <w:tblStyle w:val="11"/>
        <w:tblW w:w="5738" w:type="pct"/>
        <w:tblInd w:w="0" w:type="dxa"/>
        <w:tblLayout w:type="autofit"/>
        <w:tblCellMar>
          <w:top w:w="0" w:type="dxa"/>
          <w:left w:w="108" w:type="dxa"/>
          <w:bottom w:w="0" w:type="dxa"/>
          <w:right w:w="108" w:type="dxa"/>
        </w:tblCellMar>
      </w:tblPr>
      <w:tblGrid>
        <w:gridCol w:w="3576"/>
        <w:gridCol w:w="2144"/>
        <w:gridCol w:w="2144"/>
        <w:gridCol w:w="1687"/>
        <w:gridCol w:w="102"/>
        <w:gridCol w:w="127"/>
      </w:tblGrid>
      <w:tr>
        <w:tblPrEx>
          <w:tblCellMar>
            <w:top w:w="0" w:type="dxa"/>
            <w:left w:w="108" w:type="dxa"/>
            <w:bottom w:w="0" w:type="dxa"/>
            <w:right w:w="108" w:type="dxa"/>
          </w:tblCellMar>
        </w:tblPrEx>
        <w:trPr>
          <w:gridAfter w:val="1"/>
          <w:wAfter w:w="64" w:type="pct"/>
          <w:trHeight w:val="448"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年初预算数</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调整预算数</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gridAfter w:val="1"/>
          <w:wAfter w:w="64" w:type="pct"/>
          <w:trHeight w:val="448"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一、一般公共预算财政拨款收入</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12,119,927.93</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33,713,886.81</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33,713,886.81</w:t>
            </w:r>
          </w:p>
        </w:tc>
      </w:tr>
      <w:tr>
        <w:tblPrEx>
          <w:tblCellMar>
            <w:top w:w="0" w:type="dxa"/>
            <w:left w:w="108" w:type="dxa"/>
            <w:bottom w:w="0" w:type="dxa"/>
            <w:right w:w="108" w:type="dxa"/>
          </w:tblCellMar>
        </w:tblPrEx>
        <w:trPr>
          <w:gridAfter w:val="1"/>
          <w:wAfter w:w="64" w:type="pct"/>
          <w:trHeight w:val="448"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二、其他收入</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2,314,912.78</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2,314,912.78</w:t>
            </w:r>
          </w:p>
        </w:tc>
      </w:tr>
      <w:tr>
        <w:tblPrEx>
          <w:tblCellMar>
            <w:top w:w="0" w:type="dxa"/>
            <w:left w:w="108" w:type="dxa"/>
            <w:bottom w:w="0" w:type="dxa"/>
            <w:right w:w="108" w:type="dxa"/>
          </w:tblCellMar>
        </w:tblPrEx>
        <w:trPr>
          <w:gridAfter w:val="1"/>
          <w:wAfter w:w="64" w:type="pct"/>
          <w:trHeight w:val="414"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其中：财政收入结余</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2,155,650.00</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2,155,650.00</w:t>
            </w:r>
          </w:p>
        </w:tc>
      </w:tr>
      <w:tr>
        <w:tblPrEx>
          <w:tblCellMar>
            <w:top w:w="0" w:type="dxa"/>
            <w:left w:w="108" w:type="dxa"/>
            <w:bottom w:w="0" w:type="dxa"/>
            <w:right w:w="108" w:type="dxa"/>
          </w:tblCellMar>
        </w:tblPrEx>
        <w:trPr>
          <w:gridAfter w:val="1"/>
          <w:wAfter w:w="64" w:type="pct"/>
          <w:trHeight w:val="448"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非财政收入结余</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159,262.78</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159,262.78</w:t>
            </w:r>
          </w:p>
        </w:tc>
      </w:tr>
      <w:tr>
        <w:tblPrEx>
          <w:tblCellMar>
            <w:top w:w="0" w:type="dxa"/>
            <w:left w:w="108" w:type="dxa"/>
            <w:bottom w:w="0" w:type="dxa"/>
            <w:right w:w="108" w:type="dxa"/>
          </w:tblCellMar>
        </w:tblPrEx>
        <w:trPr>
          <w:gridAfter w:val="1"/>
          <w:wAfter w:w="64" w:type="pct"/>
          <w:trHeight w:val="448"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三、年初结转和结余</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0.00</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3,148,553.69</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3,148,553.69</w:t>
            </w:r>
          </w:p>
        </w:tc>
      </w:tr>
      <w:tr>
        <w:tblPrEx>
          <w:tblCellMar>
            <w:top w:w="0" w:type="dxa"/>
            <w:left w:w="108" w:type="dxa"/>
            <w:bottom w:w="0" w:type="dxa"/>
            <w:right w:w="108" w:type="dxa"/>
          </w:tblCellMar>
        </w:tblPrEx>
        <w:trPr>
          <w:gridAfter w:val="1"/>
          <w:wAfter w:w="64" w:type="pct"/>
          <w:trHeight w:val="448"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4"/>
                <w:szCs w:val="24"/>
              </w:rPr>
            </w:pPr>
            <w:r>
              <w:rPr>
                <w:rFonts w:hint="eastAsia" w:ascii="仿宋" w:hAnsi="仿宋" w:eastAsia="仿宋" w:cs="宋体"/>
                <w:b/>
                <w:bCs/>
                <w:color w:val="000000"/>
                <w:kern w:val="0"/>
                <w:sz w:val="24"/>
                <w:szCs w:val="24"/>
              </w:rPr>
              <w:t>合计</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12,119,927.93</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39,177,353.28</w:t>
            </w: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39,177,353.28</w:t>
            </w:r>
          </w:p>
        </w:tc>
      </w:tr>
      <w:tr>
        <w:tblPrEx>
          <w:tblCellMar>
            <w:top w:w="0" w:type="dxa"/>
            <w:left w:w="108" w:type="dxa"/>
            <w:bottom w:w="0" w:type="dxa"/>
            <w:right w:w="108" w:type="dxa"/>
          </w:tblCellMar>
        </w:tblPrEx>
        <w:trPr>
          <w:trHeight w:val="825" w:hRule="atLeast"/>
          <w:tblHeader/>
          <w:jc w:val="center"/>
        </w:trPr>
        <w:tc>
          <w:tcPr>
            <w:tcW w:w="4020" w:type="pct"/>
            <w:gridSpan w:val="3"/>
            <w:tcBorders>
              <w:top w:val="nil"/>
              <w:left w:val="nil"/>
              <w:bottom w:val="single" w:color="auto" w:sz="4" w:space="0"/>
              <w:right w:val="nil"/>
            </w:tcBorders>
            <w:shd w:val="clear" w:color="auto" w:fill="auto"/>
            <w:noWrap/>
            <w:vAlign w:val="center"/>
          </w:tcPr>
          <w:p>
            <w:pPr>
              <w:widowControl/>
              <w:ind w:firstLine="3513" w:firstLineChars="1250"/>
              <w:rPr>
                <w:rFonts w:ascii="仿宋" w:hAnsi="仿宋" w:eastAsia="仿宋" w:cs="宋体"/>
                <w:b/>
                <w:bCs/>
                <w:color w:val="000000"/>
                <w:kern w:val="0"/>
                <w:sz w:val="28"/>
                <w:szCs w:val="28"/>
                <w:highlight w:val="yellow"/>
              </w:rPr>
            </w:pPr>
            <w:r>
              <w:rPr>
                <w:rFonts w:hint="eastAsia" w:ascii="仿宋" w:hAnsi="仿宋" w:eastAsia="仿宋" w:cs="宋体"/>
                <w:b/>
                <w:bCs/>
                <w:color w:val="000000"/>
                <w:kern w:val="0"/>
                <w:sz w:val="28"/>
                <w:szCs w:val="28"/>
              </w:rPr>
              <w:t>部门整体</w:t>
            </w:r>
            <w:r>
              <w:rPr>
                <w:rFonts w:hint="eastAsia" w:ascii="仿宋" w:hAnsi="仿宋" w:eastAsia="仿宋" w:cs="宋体"/>
                <w:b/>
                <w:bCs/>
                <w:color w:val="000000"/>
                <w:kern w:val="0"/>
                <w:sz w:val="28"/>
                <w:szCs w:val="28"/>
                <w:lang w:eastAsia="zh-CN"/>
              </w:rPr>
              <w:t>决算</w:t>
            </w:r>
            <w:r>
              <w:rPr>
                <w:rFonts w:hint="eastAsia" w:ascii="仿宋" w:hAnsi="仿宋" w:eastAsia="仿宋" w:cs="宋体"/>
                <w:b/>
                <w:bCs/>
                <w:color w:val="000000"/>
                <w:kern w:val="0"/>
                <w:sz w:val="28"/>
                <w:szCs w:val="28"/>
              </w:rPr>
              <w:t>支出明细表</w:t>
            </w:r>
          </w:p>
        </w:tc>
        <w:tc>
          <w:tcPr>
            <w:tcW w:w="862" w:type="pct"/>
            <w:tcBorders>
              <w:top w:val="nil"/>
              <w:left w:val="nil"/>
              <w:bottom w:val="single" w:color="auto" w:sz="4" w:space="0"/>
              <w:right w:val="nil"/>
            </w:tcBorders>
          </w:tcPr>
          <w:p>
            <w:pPr>
              <w:widowControl/>
              <w:jc w:val="center"/>
              <w:rPr>
                <w:rFonts w:ascii="仿宋" w:hAnsi="仿宋" w:eastAsia="仿宋" w:cs="宋体"/>
                <w:b/>
                <w:bCs/>
                <w:color w:val="000000"/>
                <w:kern w:val="0"/>
                <w:sz w:val="28"/>
                <w:szCs w:val="28"/>
                <w:highlight w:val="yellow"/>
              </w:rPr>
            </w:pPr>
          </w:p>
        </w:tc>
        <w:tc>
          <w:tcPr>
            <w:tcW w:w="117" w:type="pct"/>
            <w:gridSpan w:val="2"/>
            <w:tcBorders>
              <w:top w:val="nil"/>
              <w:left w:val="nil"/>
              <w:bottom w:val="single" w:color="auto" w:sz="4" w:space="0"/>
              <w:right w:val="nil"/>
            </w:tcBorders>
          </w:tcPr>
          <w:p>
            <w:pPr>
              <w:widowControl/>
              <w:jc w:val="center"/>
              <w:rPr>
                <w:rFonts w:ascii="仿宋" w:hAnsi="仿宋" w:eastAsia="仿宋" w:cs="宋体"/>
                <w:b/>
                <w:bCs/>
                <w:color w:val="000000"/>
                <w:kern w:val="0"/>
                <w:sz w:val="28"/>
                <w:szCs w:val="28"/>
                <w:highlight w:val="yellow"/>
              </w:rPr>
            </w:pPr>
          </w:p>
        </w:tc>
      </w:tr>
      <w:tr>
        <w:tblPrEx>
          <w:tblCellMar>
            <w:top w:w="0" w:type="dxa"/>
            <w:left w:w="108" w:type="dxa"/>
            <w:bottom w:w="0" w:type="dxa"/>
            <w:right w:w="108" w:type="dxa"/>
          </w:tblCellMar>
        </w:tblPrEx>
        <w:trPr>
          <w:trHeight w:val="45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项目类别</w:t>
            </w:r>
          </w:p>
        </w:tc>
        <w:tc>
          <w:tcPr>
            <w:tcW w:w="109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年初预算数（元）</w:t>
            </w:r>
          </w:p>
        </w:tc>
        <w:tc>
          <w:tcPr>
            <w:tcW w:w="109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调整预算数（元）</w:t>
            </w:r>
          </w:p>
        </w:tc>
        <w:tc>
          <w:tcPr>
            <w:tcW w:w="979" w:type="pct"/>
            <w:gridSpan w:val="3"/>
            <w:tcBorders>
              <w:top w:val="nil"/>
              <w:left w:val="nil"/>
              <w:bottom w:val="single" w:color="auto" w:sz="4" w:space="0"/>
              <w:right w:val="single" w:color="auto" w:sz="4" w:space="0"/>
            </w:tcBorders>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预算执行数（元）</w:t>
            </w:r>
          </w:p>
        </w:tc>
      </w:tr>
      <w:tr>
        <w:tblPrEx>
          <w:tblCellMar>
            <w:top w:w="0" w:type="dxa"/>
            <w:left w:w="108" w:type="dxa"/>
            <w:bottom w:w="0" w:type="dxa"/>
            <w:right w:w="108" w:type="dxa"/>
          </w:tblCellMar>
        </w:tblPrEx>
        <w:trPr>
          <w:trHeight w:val="45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一、基本支出</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color w:val="000000"/>
                <w:kern w:val="0"/>
                <w:sz w:val="22"/>
              </w:rPr>
            </w:pPr>
            <w:r>
              <w:rPr>
                <w:rFonts w:hint="eastAsia" w:ascii="仿宋" w:hAnsi="仿宋" w:eastAsia="仿宋" w:cs="宋体"/>
                <w:b/>
                <w:bCs/>
                <w:color w:val="000000"/>
                <w:kern w:val="0"/>
                <w:sz w:val="22"/>
              </w:rPr>
              <w:t>6,539,927.93</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color w:val="000000"/>
                <w:kern w:val="0"/>
                <w:sz w:val="22"/>
              </w:rPr>
            </w:pPr>
            <w:r>
              <w:rPr>
                <w:rFonts w:hint="eastAsia" w:ascii="仿宋" w:hAnsi="仿宋" w:eastAsia="仿宋" w:cs="宋体"/>
                <w:b/>
                <w:bCs/>
                <w:color w:val="000000"/>
                <w:kern w:val="0"/>
                <w:sz w:val="22"/>
              </w:rPr>
              <w:t>31,671,378.65</w:t>
            </w:r>
          </w:p>
        </w:tc>
        <w:tc>
          <w:tcPr>
            <w:tcW w:w="979" w:type="pct"/>
            <w:gridSpan w:val="3"/>
            <w:tcBorders>
              <w:top w:val="nil"/>
              <w:left w:val="nil"/>
              <w:bottom w:val="single" w:color="auto" w:sz="4" w:space="0"/>
              <w:right w:val="single" w:color="auto" w:sz="4" w:space="0"/>
            </w:tcBorders>
            <w:vAlign w:val="center"/>
          </w:tcPr>
          <w:p>
            <w:pPr>
              <w:widowControl/>
              <w:jc w:val="right"/>
              <w:rPr>
                <w:rFonts w:hint="eastAsia" w:ascii="仿宋" w:hAnsi="仿宋" w:eastAsia="仿宋" w:cs="宋体"/>
                <w:b/>
                <w:bCs/>
                <w:color w:val="000000"/>
                <w:kern w:val="0"/>
                <w:sz w:val="22"/>
              </w:rPr>
            </w:pPr>
            <w:r>
              <w:rPr>
                <w:rFonts w:hint="eastAsia" w:ascii="仿宋" w:hAnsi="仿宋" w:eastAsia="仿宋" w:cs="宋体"/>
                <w:b/>
                <w:bCs/>
                <w:color w:val="000000"/>
                <w:kern w:val="0"/>
                <w:sz w:val="22"/>
              </w:rPr>
              <w:t>31,671,378.65</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人员经费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2"/>
              </w:rPr>
            </w:pPr>
            <w:r>
              <w:rPr>
                <w:rFonts w:hint="eastAsia" w:ascii="仿宋" w:hAnsi="仿宋" w:eastAsia="仿宋" w:cs="宋体"/>
                <w:color w:val="000000"/>
                <w:kern w:val="0"/>
                <w:sz w:val="22"/>
              </w:rPr>
              <w:t>6,002,871.21</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2"/>
              </w:rPr>
            </w:pPr>
            <w:r>
              <w:rPr>
                <w:rFonts w:hint="eastAsia" w:ascii="仿宋" w:hAnsi="仿宋" w:eastAsia="仿宋" w:cs="宋体"/>
                <w:color w:val="000000"/>
                <w:kern w:val="0"/>
                <w:sz w:val="22"/>
              </w:rPr>
              <w:t>6,277,682.02</w:t>
            </w:r>
          </w:p>
        </w:tc>
        <w:tc>
          <w:tcPr>
            <w:tcW w:w="979" w:type="pct"/>
            <w:gridSpan w:val="3"/>
            <w:tcBorders>
              <w:top w:val="nil"/>
              <w:left w:val="nil"/>
              <w:bottom w:val="single" w:color="auto" w:sz="4" w:space="0"/>
              <w:right w:val="single" w:color="auto" w:sz="4" w:space="0"/>
            </w:tcBorders>
            <w:vAlign w:val="center"/>
          </w:tcPr>
          <w:p>
            <w:pPr>
              <w:widowControl/>
              <w:jc w:val="right"/>
              <w:rPr>
                <w:rFonts w:hint="eastAsia" w:ascii="仿宋" w:hAnsi="仿宋" w:eastAsia="仿宋" w:cs="宋体"/>
                <w:color w:val="000000"/>
                <w:kern w:val="0"/>
                <w:sz w:val="22"/>
              </w:rPr>
            </w:pPr>
            <w:r>
              <w:rPr>
                <w:rFonts w:hint="eastAsia" w:ascii="仿宋" w:hAnsi="仿宋" w:eastAsia="仿宋" w:cs="宋体"/>
                <w:color w:val="000000"/>
                <w:kern w:val="0"/>
                <w:sz w:val="22"/>
              </w:rPr>
              <w:t>6,277,682.02</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公用经费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2"/>
              </w:rPr>
            </w:pPr>
            <w:r>
              <w:rPr>
                <w:rFonts w:hint="eastAsia" w:ascii="仿宋" w:hAnsi="仿宋" w:eastAsia="仿宋" w:cs="宋体"/>
                <w:color w:val="000000"/>
                <w:kern w:val="0"/>
                <w:sz w:val="22"/>
              </w:rPr>
              <w:t>537,056.72</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2"/>
              </w:rPr>
            </w:pPr>
            <w:r>
              <w:rPr>
                <w:rFonts w:hint="eastAsia" w:ascii="仿宋" w:hAnsi="仿宋" w:eastAsia="仿宋" w:cs="宋体"/>
                <w:color w:val="000000"/>
                <w:kern w:val="0"/>
                <w:sz w:val="22"/>
              </w:rPr>
              <w:t>25,393,696.63</w:t>
            </w:r>
          </w:p>
        </w:tc>
        <w:tc>
          <w:tcPr>
            <w:tcW w:w="979" w:type="pct"/>
            <w:gridSpan w:val="3"/>
            <w:tcBorders>
              <w:top w:val="nil"/>
              <w:left w:val="nil"/>
              <w:bottom w:val="single" w:color="auto" w:sz="4" w:space="0"/>
              <w:right w:val="single" w:color="auto" w:sz="4" w:space="0"/>
            </w:tcBorders>
            <w:vAlign w:val="center"/>
          </w:tcPr>
          <w:p>
            <w:pPr>
              <w:widowControl/>
              <w:jc w:val="right"/>
              <w:rPr>
                <w:rFonts w:hint="eastAsia" w:ascii="仿宋" w:hAnsi="仿宋" w:eastAsia="仿宋" w:cs="宋体"/>
                <w:color w:val="000000"/>
                <w:kern w:val="0"/>
                <w:sz w:val="22"/>
              </w:rPr>
            </w:pPr>
            <w:r>
              <w:rPr>
                <w:rFonts w:hint="eastAsia" w:ascii="仿宋" w:hAnsi="仿宋" w:eastAsia="仿宋" w:cs="宋体"/>
                <w:color w:val="000000"/>
                <w:kern w:val="0"/>
                <w:sz w:val="22"/>
              </w:rPr>
              <w:t>25,393,696.63</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二、项目支出</w:t>
            </w:r>
            <w:r>
              <w:rPr>
                <w:rFonts w:hint="eastAsia" w:ascii="仿宋" w:hAnsi="仿宋" w:eastAsia="仿宋" w:cs="宋体"/>
                <w:color w:val="000000"/>
                <w:kern w:val="0"/>
                <w:sz w:val="24"/>
                <w:szCs w:val="24"/>
              </w:rPr>
              <w:tab/>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color w:val="000000"/>
                <w:kern w:val="0"/>
                <w:sz w:val="22"/>
              </w:rPr>
            </w:pPr>
            <w:r>
              <w:rPr>
                <w:rFonts w:hint="eastAsia" w:ascii="仿宋" w:hAnsi="仿宋" w:eastAsia="仿宋" w:cs="宋体"/>
                <w:b/>
                <w:bCs/>
                <w:color w:val="000000"/>
                <w:kern w:val="0"/>
                <w:sz w:val="22"/>
              </w:rPr>
              <w:t>5,580,000.00</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color w:val="000000"/>
                <w:kern w:val="0"/>
                <w:sz w:val="22"/>
              </w:rPr>
            </w:pPr>
            <w:r>
              <w:rPr>
                <w:rFonts w:hint="eastAsia" w:ascii="仿宋" w:hAnsi="仿宋" w:eastAsia="仿宋" w:cs="宋体"/>
                <w:b/>
                <w:bCs/>
                <w:color w:val="000000"/>
                <w:kern w:val="0"/>
                <w:sz w:val="22"/>
              </w:rPr>
              <w:t>4,610,770.94</w:t>
            </w:r>
          </w:p>
        </w:tc>
        <w:tc>
          <w:tcPr>
            <w:tcW w:w="979" w:type="pct"/>
            <w:gridSpan w:val="3"/>
            <w:tcBorders>
              <w:top w:val="nil"/>
              <w:left w:val="nil"/>
              <w:bottom w:val="single" w:color="auto" w:sz="4" w:space="0"/>
              <w:right w:val="single" w:color="auto" w:sz="4" w:space="0"/>
            </w:tcBorders>
            <w:vAlign w:val="center"/>
          </w:tcPr>
          <w:p>
            <w:pPr>
              <w:widowControl/>
              <w:jc w:val="right"/>
              <w:rPr>
                <w:rFonts w:hint="eastAsia" w:ascii="仿宋" w:hAnsi="仿宋" w:eastAsia="仿宋" w:cs="宋体"/>
                <w:b/>
                <w:bCs/>
                <w:color w:val="000000"/>
                <w:kern w:val="0"/>
                <w:sz w:val="22"/>
              </w:rPr>
            </w:pPr>
            <w:r>
              <w:rPr>
                <w:rFonts w:hint="eastAsia" w:ascii="仿宋" w:hAnsi="仿宋" w:eastAsia="仿宋" w:cs="宋体"/>
                <w:b/>
                <w:bCs/>
                <w:color w:val="000000"/>
                <w:kern w:val="0"/>
                <w:sz w:val="22"/>
              </w:rPr>
              <w:t>4,610,770.94</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减灾示范社区创建</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90,000.00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250,000.00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250,000.00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应急管理经费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400,000.00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399,609.71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399,609.71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排查隐患整改资金</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1,000,000.00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540,000.00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540,000.00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安全事故救助金</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1,000,000.00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森林防火专项经费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530,000.00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511,598.00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511,598.00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灾害信息观察员通讯补贴</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60,000.00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53,850.00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53,850.00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购买社会服务经费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640,000.00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508,296.30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508,296.30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“两化”体系建设经费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300,000.00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300,000.00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300,000.00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地震专项经费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100,000.00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18,980.93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18,980.93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安全生产监管专项经费</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1,460,000.00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1,460,000.00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1,460,000.00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自然灾害防治</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476,386.00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476,386.00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卫生健康支出</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36,400.00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36,400.00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其他灾害防治及应急管理支出</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0.00 </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55,650.00 </w:t>
            </w:r>
          </w:p>
        </w:tc>
        <w:tc>
          <w:tcPr>
            <w:tcW w:w="979" w:type="pct"/>
            <w:gridSpan w:val="3"/>
            <w:tcBorders>
              <w:top w:val="nil"/>
              <w:left w:val="nil"/>
              <w:bottom w:val="single" w:color="auto" w:sz="4" w:space="0"/>
              <w:right w:val="single" w:color="auto" w:sz="4" w:space="0"/>
            </w:tcBorders>
            <w:vAlign w:val="center"/>
          </w:tcPr>
          <w:p>
            <w:pPr>
              <w:widowControl/>
              <w:jc w:val="right"/>
              <w:rPr>
                <w:rFonts w:ascii="仿宋" w:hAnsi="仿宋" w:eastAsia="仿宋" w:cs="宋体"/>
                <w:color w:val="000000"/>
                <w:kern w:val="0"/>
                <w:sz w:val="24"/>
                <w:szCs w:val="24"/>
              </w:rPr>
            </w:pPr>
            <w:r>
              <w:rPr>
                <w:rFonts w:ascii="仿宋" w:hAnsi="仿宋" w:eastAsia="仿宋" w:cs="宋体"/>
                <w:color w:val="000000"/>
                <w:kern w:val="0"/>
                <w:sz w:val="24"/>
                <w:szCs w:val="24"/>
              </w:rPr>
              <w:t xml:space="preserve">55,650.00 </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三、年末结转和结余</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b/>
                <w:bCs/>
                <w:color w:val="000000"/>
                <w:kern w:val="0"/>
                <w:sz w:val="22"/>
              </w:rPr>
            </w:pPr>
            <w:r>
              <w:rPr>
                <w:rFonts w:hint="eastAsia" w:ascii="宋体" w:hAnsi="宋体" w:cs="宋体"/>
                <w:b/>
                <w:bCs/>
                <w:color w:val="000000"/>
                <w:kern w:val="0"/>
                <w:sz w:val="22"/>
                <w:lang w:bidi="ar"/>
              </w:rPr>
              <w:t>0.00</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b/>
                <w:bCs/>
                <w:color w:val="000000"/>
                <w:kern w:val="0"/>
                <w:sz w:val="22"/>
              </w:rPr>
            </w:pPr>
            <w:r>
              <w:rPr>
                <w:rFonts w:hint="eastAsia" w:ascii="宋体" w:hAnsi="宋体" w:cs="宋体"/>
                <w:b/>
                <w:bCs/>
                <w:color w:val="000000"/>
                <w:kern w:val="0"/>
                <w:sz w:val="22"/>
                <w:lang w:bidi="ar"/>
              </w:rPr>
              <w:t>2,895,203.69</w:t>
            </w:r>
          </w:p>
        </w:tc>
        <w:tc>
          <w:tcPr>
            <w:tcW w:w="979" w:type="pct"/>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2,895,203.69</w:t>
            </w:r>
          </w:p>
        </w:tc>
      </w:tr>
      <w:tr>
        <w:tblPrEx>
          <w:tblCellMar>
            <w:top w:w="0" w:type="dxa"/>
            <w:left w:w="108" w:type="dxa"/>
            <w:bottom w:w="0" w:type="dxa"/>
            <w:right w:w="108" w:type="dxa"/>
          </w:tblCellMar>
        </w:tblPrEx>
        <w:trPr>
          <w:trHeight w:val="390" w:hRule="atLeast"/>
          <w:jc w:val="center"/>
        </w:trPr>
        <w:tc>
          <w:tcPr>
            <w:tcW w:w="182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合计</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color w:val="000000"/>
                <w:kern w:val="0"/>
                <w:sz w:val="22"/>
              </w:rPr>
            </w:pPr>
            <w:r>
              <w:rPr>
                <w:rFonts w:ascii="仿宋" w:hAnsi="仿宋" w:eastAsia="仿宋" w:cs="宋体"/>
                <w:b/>
                <w:bCs/>
                <w:color w:val="000000"/>
                <w:kern w:val="0"/>
                <w:sz w:val="22"/>
              </w:rPr>
              <w:t>12,119,927.93</w:t>
            </w:r>
          </w:p>
        </w:tc>
        <w:tc>
          <w:tcPr>
            <w:tcW w:w="1096" w:type="pct"/>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仿宋" w:hAnsi="仿宋" w:eastAsia="仿宋" w:cs="宋体"/>
                <w:b/>
                <w:bCs/>
                <w:color w:val="000000"/>
                <w:kern w:val="0"/>
                <w:sz w:val="22"/>
              </w:rPr>
            </w:pPr>
            <w:r>
              <w:rPr>
                <w:rFonts w:hint="eastAsia" w:ascii="宋体" w:hAnsi="宋体" w:cs="宋体"/>
                <w:b/>
                <w:bCs/>
                <w:color w:val="000000"/>
                <w:kern w:val="0"/>
                <w:sz w:val="22"/>
                <w:lang w:bidi="ar"/>
              </w:rPr>
              <w:t>39,177,353.28</w:t>
            </w:r>
          </w:p>
        </w:tc>
        <w:tc>
          <w:tcPr>
            <w:tcW w:w="979" w:type="pct"/>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39,177,353.28</w:t>
            </w:r>
          </w:p>
        </w:tc>
      </w:tr>
    </w:tbl>
    <w:p>
      <w:pPr>
        <w:ind w:firstLine="200" w:firstLineChars="200"/>
        <w:rPr>
          <w:rFonts w:ascii="宋体" w:cs="Times New Roman"/>
          <w:bCs/>
          <w:color w:val="000000"/>
          <w:sz w:val="10"/>
          <w:szCs w:val="10"/>
          <w:highlight w:val="yellow"/>
        </w:rPr>
      </w:pPr>
    </w:p>
    <w:p>
      <w:pPr>
        <w:spacing w:line="360" w:lineRule="auto"/>
        <w:ind w:firstLine="600" w:firstLineChars="200"/>
        <w:rPr>
          <w:rFonts w:ascii="仿宋" w:eastAsia="仿宋" w:cs="Times New Roman"/>
          <w:sz w:val="30"/>
          <w:szCs w:val="30"/>
        </w:rPr>
      </w:pPr>
      <w:bookmarkStart w:id="3" w:name="_Hlk10726825"/>
      <w:bookmarkStart w:id="4" w:name="_Hlk10625811"/>
      <w:r>
        <w:rPr>
          <w:rFonts w:hint="eastAsia" w:ascii="仿宋" w:eastAsia="仿宋" w:cs="Times New Roman"/>
          <w:sz w:val="30"/>
          <w:szCs w:val="30"/>
        </w:rPr>
        <w:t>②偏离原因</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2020年因受疫情和洪涝灾害影响，防灾减灾费用增加；社会保障支出和就业支出、卫生健康支出、灾害防治及应急管理支出增加。</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增加的基本支出主要用于新冠疫情防控临时性工作经费、2019年五奖支出、洪涝灾害中受灾群众生活补贴。</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缩减项目支出为安全事故救助金项目，2020年度蔡甸区未发生重大安全事故，因此该项目未实施。</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区应急管理局2020年度部门预算收入（一般公共预算收入）1,211.99 万元，实际预算支出3,628.21万元，增加预算收入2,416.22万元。增加率50.16%。其中：增加基本支出2,513.14万元，缩减项目支出96.92万元。</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2.绩效目标完成情况分析</w:t>
      </w:r>
    </w:p>
    <w:bookmarkEnd w:id="3"/>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区应急管理局完成2020年度整体绩效及9个项目年度绩效目标，具体情况如下：</w:t>
      </w:r>
    </w:p>
    <w:p>
      <w:pPr>
        <w:ind w:firstLine="602" w:firstLineChars="200"/>
        <w:rPr>
          <w:rFonts w:ascii="仿宋" w:eastAsia="仿宋" w:cs="Times New Roman"/>
          <w:sz w:val="30"/>
          <w:szCs w:val="30"/>
        </w:rPr>
      </w:pPr>
      <w:r>
        <w:rPr>
          <w:rFonts w:hint="eastAsia" w:ascii="仿宋" w:eastAsia="仿宋" w:cs="Times New Roman"/>
          <w:b/>
          <w:bCs/>
          <w:sz w:val="30"/>
          <w:szCs w:val="30"/>
        </w:rPr>
        <w:t>年度目标1</w:t>
      </w:r>
      <w:r>
        <w:rPr>
          <w:rFonts w:hint="eastAsia" w:ascii="仿宋" w:eastAsia="仿宋" w:cs="Times New Roman"/>
          <w:sz w:val="30"/>
          <w:szCs w:val="30"/>
        </w:rPr>
        <w:t>：紧盯“一无一降”目标，严格落实安全生产责任制，健全完善风险管控和隐患排查治理双重预防机制，坚决守住安全生产底线。</w:t>
      </w:r>
    </w:p>
    <w:p>
      <w:pPr>
        <w:pStyle w:val="2"/>
        <w:ind w:left="0" w:leftChars="0" w:firstLine="600"/>
        <w:rPr>
          <w:rFonts w:ascii="仿宋" w:eastAsia="仿宋" w:cs="Times New Roman"/>
          <w:sz w:val="30"/>
          <w:szCs w:val="30"/>
        </w:rPr>
      </w:pPr>
      <w:r>
        <w:rPr>
          <w:rFonts w:hint="eastAsia" w:ascii="仿宋" w:eastAsia="仿宋" w:cs="Times New Roman"/>
          <w:sz w:val="30"/>
          <w:szCs w:val="30"/>
        </w:rPr>
        <w:t>年度绩效目标：完善安全生产责任制，坚决遏制重特大安全生产事故</w:t>
      </w:r>
      <w:r>
        <w:rPr>
          <w:rFonts w:hint="eastAsia" w:ascii="仿宋" w:eastAsia="仿宋" w:cs="Times New Roman"/>
          <w:sz w:val="30"/>
          <w:szCs w:val="30"/>
          <w:highlight w:val="none"/>
        </w:rPr>
        <w:t>;建立健全</w:t>
      </w:r>
      <w:r>
        <w:rPr>
          <w:rFonts w:hint="eastAsia" w:ascii="仿宋" w:eastAsia="仿宋" w:cs="Times New Roman"/>
          <w:sz w:val="30"/>
          <w:szCs w:val="30"/>
          <w:highlight w:val="none"/>
          <w:lang w:val="en-US" w:eastAsia="zh-CN"/>
        </w:rPr>
        <w:t>安全生产综合</w:t>
      </w:r>
      <w:r>
        <w:rPr>
          <w:rFonts w:hint="eastAsia" w:ascii="仿宋" w:eastAsia="仿宋" w:cs="Times New Roman"/>
          <w:sz w:val="30"/>
          <w:szCs w:val="30"/>
          <w:highlight w:val="none"/>
        </w:rPr>
        <w:t>协作机制，完善</w:t>
      </w:r>
      <w:r>
        <w:rPr>
          <w:rFonts w:hint="eastAsia" w:ascii="仿宋" w:eastAsia="仿宋" w:cs="Times New Roman"/>
          <w:sz w:val="30"/>
          <w:szCs w:val="30"/>
          <w:highlight w:val="none"/>
          <w:lang w:val="en-US" w:eastAsia="zh-CN"/>
        </w:rPr>
        <w:t>隐患排查整治闭环管理</w:t>
      </w:r>
      <w:r>
        <w:rPr>
          <w:rFonts w:hint="eastAsia" w:ascii="仿宋" w:eastAsia="仿宋" w:cs="Times New Roman"/>
          <w:sz w:val="30"/>
          <w:szCs w:val="30"/>
          <w:highlight w:val="none"/>
        </w:rPr>
        <w:t>制度；开展高危企业专项治理，做好引进企业</w:t>
      </w:r>
      <w:r>
        <w:rPr>
          <w:rFonts w:hint="eastAsia" w:ascii="仿宋" w:eastAsia="仿宋" w:cs="Times New Roman"/>
          <w:sz w:val="30"/>
          <w:szCs w:val="30"/>
          <w:highlight w:val="none"/>
          <w:lang w:val="en-US" w:eastAsia="zh-CN"/>
        </w:rPr>
        <w:t>安全生产</w:t>
      </w:r>
      <w:r>
        <w:rPr>
          <w:rFonts w:hint="eastAsia" w:ascii="仿宋" w:eastAsia="仿宋" w:cs="Times New Roman"/>
          <w:sz w:val="30"/>
          <w:szCs w:val="30"/>
          <w:highlight w:val="none"/>
        </w:rPr>
        <w:t>“三同时”监管;亿元</w:t>
      </w:r>
      <w:r>
        <w:rPr>
          <w:rFonts w:hint="eastAsia" w:ascii="仿宋" w:eastAsia="仿宋" w:cs="Times New Roman"/>
          <w:sz w:val="30"/>
          <w:szCs w:val="30"/>
        </w:rPr>
        <w:t>ＧＤＰ生产安全事故死亡率及较大以上事故起数控制在市政府下达目标范围内；工矿商贸企业十万就业人员死亡率控制在市下达目标范围内，事故查处按时结案率100%；完成率98%；及时率100%；降低安全隐患，保障安全生产，促进社会经济发展。</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质量指标设置了3个三级指标，实际完成率、完成及时率、安全生产监管监察是否按计划完成。通过评价，该指标均已完成，已达到预期目标。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社会效益指标设置了2个三级指标。降低安全隐患、保障安全生产及促进社会经济发展。通过评价，该指标均已完成，已达到预期目标。</w:t>
      </w:r>
    </w:p>
    <w:p>
      <w:pPr>
        <w:ind w:firstLine="602" w:firstLineChars="200"/>
        <w:rPr>
          <w:rFonts w:ascii="仿宋" w:eastAsia="仿宋" w:cs="Times New Roman"/>
          <w:sz w:val="30"/>
          <w:szCs w:val="30"/>
        </w:rPr>
      </w:pPr>
      <w:r>
        <w:rPr>
          <w:rFonts w:hint="eastAsia" w:ascii="仿宋" w:eastAsia="仿宋" w:cs="Times New Roman"/>
          <w:b/>
          <w:bCs/>
          <w:sz w:val="30"/>
          <w:szCs w:val="30"/>
        </w:rPr>
        <w:t>年度目标2：</w:t>
      </w:r>
      <w:r>
        <w:rPr>
          <w:rFonts w:hint="eastAsia" w:ascii="仿宋" w:eastAsia="仿宋" w:cs="Times New Roman"/>
          <w:sz w:val="30"/>
          <w:szCs w:val="30"/>
        </w:rPr>
        <w:t>规范执法行为，落实行政执法三项制度，年度执法计划完成率和行政处罚案件法定规定期限内办结率100%。</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年度绩效目标：检查危险化学品、化工、医药类重点企业100家；检查工贸企业100家；排查烟花爆竹有证经营户80户；规定期限内办结行政处罚案件。保障安全生产，促进本区的经济发展。</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pPr>
      <w:r>
        <w:rPr>
          <w:rFonts w:hint="eastAsia" w:ascii="仿宋" w:eastAsia="仿宋" w:cs="Times New Roman"/>
          <w:sz w:val="30"/>
          <w:szCs w:val="30"/>
        </w:rPr>
        <w:t>1）数量指标完成情况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数量指标设置了4个三级指标。检查危险化学品、化工、医药类重点企业100家；检查工贸企业100家；排查烟花爆竹有证经营户80户；规定期限内办结行政处罚案件。通过评价，该指标均已完成，已达到预期目标。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2）质量指标完成情况</w:t>
      </w:r>
    </w:p>
    <w:p>
      <w:pPr>
        <w:spacing w:line="360" w:lineRule="auto"/>
        <w:ind w:firstLine="600" w:firstLineChars="200"/>
      </w:pPr>
      <w:r>
        <w:rPr>
          <w:rFonts w:hint="eastAsia" w:ascii="仿宋" w:eastAsia="仿宋" w:cs="Times New Roman"/>
          <w:sz w:val="30"/>
          <w:szCs w:val="30"/>
        </w:rPr>
        <w:t>质量指标设置了2个三级指标。执法计划完成率100%；行政处罚案件办结率100%。通过评价，该指标已达到预期目标。</w:t>
      </w:r>
    </w:p>
    <w:p>
      <w:pPr>
        <w:numPr>
          <w:ilvl w:val="0"/>
          <w:numId w:val="1"/>
        </w:numPr>
        <w:spacing w:line="360" w:lineRule="auto"/>
        <w:ind w:firstLine="600" w:firstLineChars="200"/>
        <w:rPr>
          <w:rFonts w:ascii="仿宋" w:eastAsia="仿宋" w:cs="Times New Roman"/>
          <w:sz w:val="30"/>
          <w:szCs w:val="30"/>
        </w:rPr>
      </w:pPr>
      <w:r>
        <w:rPr>
          <w:rFonts w:hint="eastAsia" w:ascii="仿宋" w:eastAsia="仿宋" w:cs="Times New Roman"/>
          <w:sz w:val="30"/>
          <w:szCs w:val="30"/>
        </w:rPr>
        <w:t>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社会效益指标设置了3个三级指标。降低安全隐患100%；排除安全隐患、不发生有影响的</w:t>
      </w:r>
      <w:r>
        <w:rPr>
          <w:rFonts w:hint="eastAsia" w:ascii="仿宋" w:eastAsia="仿宋" w:cs="Times New Roman"/>
          <w:sz w:val="30"/>
          <w:szCs w:val="30"/>
          <w:highlight w:val="none"/>
          <w:lang w:val="en-US" w:eastAsia="zh-CN"/>
        </w:rPr>
        <w:t>生产安全事故</w:t>
      </w:r>
      <w:r>
        <w:rPr>
          <w:rFonts w:hint="eastAsia" w:ascii="仿宋" w:eastAsia="仿宋" w:cs="Times New Roman"/>
          <w:sz w:val="30"/>
          <w:szCs w:val="30"/>
        </w:rPr>
        <w:t>等其他社会效益100%；保障安全生产，促进社会经济发展，提高经济效益。通过评价，该指标均已完成。</w:t>
      </w:r>
    </w:p>
    <w:p>
      <w:pPr>
        <w:numPr>
          <w:ilvl w:val="0"/>
          <w:numId w:val="2"/>
        </w:numPr>
        <w:spacing w:line="360" w:lineRule="auto"/>
        <w:ind w:firstLine="600" w:firstLineChars="200"/>
        <w:rPr>
          <w:rFonts w:ascii="仿宋" w:eastAsia="仿宋" w:cs="Times New Roman"/>
          <w:sz w:val="30"/>
          <w:szCs w:val="30"/>
        </w:rPr>
      </w:pPr>
      <w:r>
        <w:rPr>
          <w:rFonts w:hint="eastAsia" w:ascii="仿宋" w:eastAsia="仿宋" w:cs="Times New Roman"/>
          <w:sz w:val="30"/>
          <w:szCs w:val="30"/>
        </w:rPr>
        <w:t>可持续发展影响指标完成情况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可持续发展影响指标</w:t>
      </w:r>
      <w:r>
        <w:rPr>
          <w:rFonts w:ascii="仿宋" w:eastAsia="仿宋" w:cs="Times New Roman"/>
          <w:sz w:val="30"/>
          <w:szCs w:val="30"/>
        </w:rPr>
        <w:t>设置了</w:t>
      </w:r>
      <w:r>
        <w:rPr>
          <w:rFonts w:hint="eastAsia" w:ascii="仿宋" w:eastAsia="仿宋" w:cs="Times New Roman"/>
          <w:sz w:val="30"/>
          <w:szCs w:val="30"/>
        </w:rPr>
        <w:t>1</w:t>
      </w:r>
      <w:r>
        <w:rPr>
          <w:rFonts w:ascii="仿宋" w:eastAsia="仿宋" w:cs="Times New Roman"/>
          <w:sz w:val="30"/>
          <w:szCs w:val="30"/>
        </w:rPr>
        <w:t>个三级指标。项目经费有保障</w:t>
      </w:r>
      <w:r>
        <w:rPr>
          <w:rFonts w:hint="eastAsia" w:ascii="仿宋" w:eastAsia="仿宋" w:cs="Times New Roman"/>
          <w:sz w:val="30"/>
          <w:szCs w:val="30"/>
        </w:rPr>
        <w:t>。通过评价，该指标</w:t>
      </w:r>
      <w:r>
        <w:rPr>
          <w:rFonts w:ascii="仿宋" w:eastAsia="仿宋" w:cs="Times New Roman"/>
          <w:sz w:val="30"/>
          <w:szCs w:val="30"/>
        </w:rPr>
        <w:t>已</w:t>
      </w:r>
      <w:r>
        <w:rPr>
          <w:rFonts w:hint="eastAsia" w:ascii="仿宋" w:eastAsia="仿宋" w:cs="Times New Roman"/>
          <w:sz w:val="30"/>
          <w:szCs w:val="30"/>
        </w:rPr>
        <w:t>完成</w:t>
      </w:r>
      <w:r>
        <w:rPr>
          <w:rFonts w:ascii="仿宋" w:eastAsia="仿宋" w:cs="Times New Roman"/>
          <w:sz w:val="30"/>
          <w:szCs w:val="30"/>
        </w:rPr>
        <w:t>。</w:t>
      </w:r>
    </w:p>
    <w:p>
      <w:pPr>
        <w:ind w:firstLine="602" w:firstLineChars="200"/>
        <w:rPr>
          <w:rFonts w:ascii="仿宋" w:eastAsia="仿宋" w:cs="Times New Roman"/>
          <w:sz w:val="30"/>
          <w:szCs w:val="30"/>
        </w:rPr>
      </w:pPr>
      <w:r>
        <w:rPr>
          <w:rFonts w:hint="eastAsia" w:ascii="仿宋" w:eastAsia="仿宋" w:cs="Times New Roman"/>
          <w:b/>
          <w:bCs/>
          <w:sz w:val="30"/>
          <w:szCs w:val="30"/>
        </w:rPr>
        <w:t>年度目标3：</w:t>
      </w:r>
      <w:r>
        <w:rPr>
          <w:rFonts w:hint="eastAsia" w:ascii="仿宋" w:eastAsia="仿宋" w:cs="Times New Roman"/>
          <w:sz w:val="30"/>
          <w:szCs w:val="30"/>
        </w:rPr>
        <w:t>全面开展全区安全生产专项整治三年行动，组织开展安全生产事故调查和处理，重大安全隐患按期整改完成率100%</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年度绩效目标：2020年全面开展安全生产专项整治三年行动落地落实；开展安全生产事故调查和处理100%；完成督办安全隐患整改，促进地区社会经济发展。</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年度绩效目标完成情况如下：</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1）数量指标完成情况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数量指标设置了3个三级指标。推动全区安全生产专项整治三年行动落地落实；开展安全生产事故调查和处理100%；完成督办安全隐患整改。通过评价，该指标均已完成。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质量指标设置了2个三级指标。实际完成率100%；完成及时率100%，通过评价，达到预期目标，该指标均已完成。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社会效益指标设置了2个三级指标。降低安全隐患100%</w:t>
      </w:r>
      <w:r>
        <w:rPr>
          <w:rFonts w:hint="eastAsia" w:ascii="仿宋" w:eastAsia="仿宋" w:cs="Times New Roman"/>
          <w:sz w:val="30"/>
          <w:szCs w:val="30"/>
        </w:rPr>
        <w:tab/>
      </w:r>
      <w:r>
        <w:rPr>
          <w:rFonts w:hint="eastAsia" w:ascii="仿宋" w:eastAsia="仿宋" w:cs="Times New Roman"/>
          <w:sz w:val="30"/>
          <w:szCs w:val="30"/>
        </w:rPr>
        <w:t>；保障安全生产，促进社会经济发展，提高经济效益。通过评价，该指标达均已完成。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2）可持续发展影响指标完成情况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可持续发展影响指标</w:t>
      </w:r>
      <w:r>
        <w:rPr>
          <w:rFonts w:ascii="仿宋" w:eastAsia="仿宋" w:cs="Times New Roman"/>
          <w:sz w:val="30"/>
          <w:szCs w:val="30"/>
        </w:rPr>
        <w:t>设置了</w:t>
      </w:r>
      <w:r>
        <w:rPr>
          <w:rFonts w:hint="eastAsia" w:ascii="仿宋" w:eastAsia="仿宋" w:cs="Times New Roman"/>
          <w:sz w:val="30"/>
          <w:szCs w:val="30"/>
        </w:rPr>
        <w:t>1</w:t>
      </w:r>
      <w:r>
        <w:rPr>
          <w:rFonts w:ascii="仿宋" w:eastAsia="仿宋" w:cs="Times New Roman"/>
          <w:sz w:val="30"/>
          <w:szCs w:val="30"/>
        </w:rPr>
        <w:t>个三级指标。项目经费有保障，经费</w:t>
      </w:r>
      <w:r>
        <w:rPr>
          <w:rFonts w:hint="eastAsia" w:ascii="仿宋" w:eastAsia="仿宋" w:cs="Times New Roman"/>
          <w:sz w:val="30"/>
          <w:szCs w:val="30"/>
        </w:rPr>
        <w:t>到位及时。该指标已完成</w:t>
      </w:r>
      <w:r>
        <w:rPr>
          <w:rFonts w:ascii="仿宋" w:eastAsia="仿宋" w:cs="Times New Roman"/>
          <w:sz w:val="30"/>
          <w:szCs w:val="30"/>
        </w:rPr>
        <w:t>。</w:t>
      </w:r>
    </w:p>
    <w:p>
      <w:pPr>
        <w:ind w:firstLine="602" w:firstLineChars="200"/>
        <w:rPr>
          <w:rFonts w:ascii="仿宋" w:eastAsia="仿宋" w:cs="Times New Roman"/>
          <w:sz w:val="30"/>
          <w:szCs w:val="30"/>
        </w:rPr>
      </w:pPr>
      <w:r>
        <w:rPr>
          <w:rFonts w:hint="eastAsia" w:ascii="仿宋" w:eastAsia="仿宋" w:cs="Times New Roman"/>
          <w:b/>
          <w:bCs/>
          <w:sz w:val="30"/>
          <w:szCs w:val="30"/>
        </w:rPr>
        <w:t>年度目标4：</w:t>
      </w:r>
      <w:r>
        <w:rPr>
          <w:rFonts w:hint="eastAsia" w:ascii="仿宋" w:eastAsia="仿宋" w:cs="Times New Roman"/>
          <w:sz w:val="30"/>
          <w:szCs w:val="30"/>
        </w:rPr>
        <w:t>加快构建应急管理体制，完成有关应急预案修订工作；创建省级综合减灾示范社区1个、市级综合减灾示范社区1个；提高防灾减灾救灾能力，全区较大以上安全生产和自然灾害事故应急处置率达到100%。</w:t>
      </w:r>
    </w:p>
    <w:p>
      <w:pPr>
        <w:ind w:firstLine="600" w:firstLineChars="200"/>
        <w:rPr>
          <w:rFonts w:hint="eastAsia" w:ascii="仿宋" w:eastAsia="仿宋" w:cs="Times New Roman"/>
          <w:sz w:val="30"/>
          <w:szCs w:val="30"/>
        </w:rPr>
      </w:pPr>
      <w:r>
        <w:rPr>
          <w:rFonts w:hint="eastAsia" w:ascii="仿宋" w:eastAsia="仿宋" w:cs="Times New Roman"/>
          <w:sz w:val="30"/>
          <w:szCs w:val="30"/>
        </w:rPr>
        <w:t>年度绩效目标：完成有关应急预案修订工作；创建省级综合减灾示范社区1个、市级综合减灾示范社区1个；做好防灾减灾宣传工作</w:t>
      </w:r>
      <w:r>
        <w:rPr>
          <w:rFonts w:hint="eastAsia" w:ascii="仿宋" w:eastAsia="仿宋" w:cs="Times New Roman"/>
          <w:sz w:val="30"/>
          <w:szCs w:val="30"/>
        </w:rPr>
        <w:tab/>
      </w:r>
      <w:r>
        <w:rPr>
          <w:rFonts w:hint="eastAsia" w:ascii="仿宋" w:eastAsia="仿宋" w:cs="Times New Roman"/>
          <w:sz w:val="30"/>
          <w:szCs w:val="30"/>
        </w:rPr>
        <w:t>；提高社会群体法律意识</w:t>
      </w:r>
      <w:r>
        <w:rPr>
          <w:rFonts w:hint="eastAsia" w:ascii="仿宋" w:eastAsia="仿宋" w:cs="Times New Roman"/>
          <w:sz w:val="30"/>
          <w:szCs w:val="30"/>
        </w:rPr>
        <w:tab/>
      </w:r>
      <w:r>
        <w:rPr>
          <w:rFonts w:hint="eastAsia" w:ascii="仿宋" w:eastAsia="仿宋" w:cs="Times New Roman"/>
          <w:sz w:val="30"/>
          <w:szCs w:val="30"/>
        </w:rPr>
        <w:t>提高居民防灾减灾意识，提升社会防灾减灾能力。</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年度绩效目标完成情况如下：</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1）数量指标完成情况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数量指标设置了3个三级指标。加快构建应急管理体制；创建省级综合减灾示范社区、市级综合减灾示范社区；提高防灾减灾救灾能力。通过评价，该指标均已完成。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质量指标设置了2个三级指标。实际完成率100%；完成及时率100%，该指标均已完成。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社会效益指标设置了2个三级指标。提高社会群体法律意识；提高居民防灾减灾意识，提升社会防灾减灾能力。通过评价，该指标均已完成。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2）可持续发展影响指标完成情况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可持续发展影响指标</w:t>
      </w:r>
      <w:r>
        <w:rPr>
          <w:rFonts w:ascii="仿宋" w:eastAsia="仿宋" w:cs="Times New Roman"/>
          <w:sz w:val="30"/>
          <w:szCs w:val="30"/>
        </w:rPr>
        <w:t>设置了</w:t>
      </w:r>
      <w:r>
        <w:rPr>
          <w:rFonts w:hint="eastAsia" w:ascii="仿宋" w:eastAsia="仿宋" w:cs="Times New Roman"/>
          <w:sz w:val="30"/>
          <w:szCs w:val="30"/>
        </w:rPr>
        <w:t>1</w:t>
      </w:r>
      <w:r>
        <w:rPr>
          <w:rFonts w:ascii="仿宋" w:eastAsia="仿宋" w:cs="Times New Roman"/>
          <w:sz w:val="30"/>
          <w:szCs w:val="30"/>
        </w:rPr>
        <w:t>个三级指标。项目经费有保障</w:t>
      </w:r>
      <w:r>
        <w:rPr>
          <w:rFonts w:hint="eastAsia" w:ascii="仿宋" w:eastAsia="仿宋" w:cs="Times New Roman"/>
          <w:sz w:val="30"/>
          <w:szCs w:val="30"/>
        </w:rPr>
        <w:t>，经费保障到位，该指标已完成</w:t>
      </w:r>
      <w:r>
        <w:rPr>
          <w:rFonts w:ascii="仿宋" w:eastAsia="仿宋" w:cs="Times New Roman"/>
          <w:sz w:val="30"/>
          <w:szCs w:val="30"/>
        </w:rPr>
        <w:t>。</w:t>
      </w:r>
    </w:p>
    <w:p>
      <w:pPr>
        <w:ind w:firstLine="602" w:firstLineChars="200"/>
        <w:rPr>
          <w:rFonts w:ascii="仿宋" w:eastAsia="仿宋" w:cs="Times New Roman"/>
          <w:sz w:val="30"/>
          <w:szCs w:val="30"/>
          <w:highlight w:val="yellow"/>
        </w:rPr>
      </w:pPr>
      <w:r>
        <w:rPr>
          <w:rFonts w:hint="eastAsia" w:ascii="仿宋" w:eastAsia="仿宋" w:cs="Times New Roman"/>
          <w:b/>
          <w:bCs/>
          <w:sz w:val="30"/>
          <w:szCs w:val="30"/>
        </w:rPr>
        <w:t>年度目标5：</w:t>
      </w:r>
      <w:r>
        <w:rPr>
          <w:rFonts w:hint="eastAsia" w:ascii="仿宋" w:eastAsia="仿宋" w:cs="Times New Roman"/>
          <w:sz w:val="30"/>
          <w:szCs w:val="30"/>
        </w:rPr>
        <w:t>加强应急指挥信息化建设，着力提升区级应急管理水平；全年开展安全生产类、自然灾害类应急演练2次以上。</w:t>
      </w:r>
    </w:p>
    <w:p>
      <w:pPr>
        <w:ind w:firstLine="600" w:firstLineChars="200"/>
        <w:rPr>
          <w:rFonts w:ascii="仿宋" w:eastAsia="仿宋" w:cs="Times New Roman"/>
          <w:sz w:val="30"/>
          <w:szCs w:val="30"/>
        </w:rPr>
      </w:pPr>
      <w:r>
        <w:rPr>
          <w:rFonts w:hint="eastAsia" w:ascii="仿宋" w:eastAsia="仿宋" w:cs="Times New Roman"/>
          <w:sz w:val="30"/>
          <w:szCs w:val="30"/>
        </w:rPr>
        <w:t>年度绩效目标：完成应急指挥调度会商系统和视频会议系统建设；全年开展安全生产类、自然灾害类应急演练</w:t>
      </w:r>
      <w:r>
        <w:rPr>
          <w:rFonts w:hint="eastAsia" w:ascii="仿宋" w:eastAsia="仿宋" w:cs="Times New Roman"/>
          <w:sz w:val="30"/>
          <w:szCs w:val="30"/>
        </w:rPr>
        <w:tab/>
      </w:r>
      <w:r>
        <w:rPr>
          <w:rFonts w:hint="eastAsia" w:ascii="仿宋" w:eastAsia="仿宋" w:cs="Times New Roman"/>
          <w:sz w:val="30"/>
          <w:szCs w:val="30"/>
        </w:rPr>
        <w:t>2次以上。</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年度绩效目标完成情况如下：</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1）数量指标完成情况</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数量指标设置了2个三级指标。加强应急指挥信息化建设，着力提升区级应急管理水平；全年开展安全生产类、自然灾害类应急演练。通过评价，该指标均已完成。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质量指标设置了2个三级指标。实际完成率100%；完成及时率100%，该指标均已完成。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社会效益指标设置了1个三级指标。维护应急综合信息平台正常运转。加大对行政执法平台的监督，通过评价，该指标已完成。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2）可持续发展影响指标完成情况</w:t>
      </w:r>
    </w:p>
    <w:p>
      <w:pPr>
        <w:spacing w:line="360" w:lineRule="auto"/>
        <w:ind w:firstLine="600" w:firstLineChars="200"/>
        <w:rPr>
          <w:rFonts w:hint="eastAsia" w:ascii="仿宋" w:eastAsia="仿宋" w:cs="Times New Roman"/>
          <w:sz w:val="30"/>
          <w:szCs w:val="30"/>
        </w:rPr>
      </w:pPr>
      <w:r>
        <w:rPr>
          <w:rFonts w:hint="eastAsia" w:ascii="仿宋" w:eastAsia="仿宋" w:cs="Times New Roman"/>
          <w:sz w:val="30"/>
          <w:szCs w:val="30"/>
        </w:rPr>
        <w:t>可持续发展影响指标设置了1个三级指标。项目经费有保障。通过评价，经费及时到位，指标已完成。</w:t>
      </w:r>
    </w:p>
    <w:p>
      <w:pPr>
        <w:ind w:firstLine="602" w:firstLineChars="200"/>
        <w:rPr>
          <w:rFonts w:ascii="仿宋" w:eastAsia="仿宋" w:cs="Times New Roman"/>
          <w:sz w:val="30"/>
          <w:szCs w:val="30"/>
        </w:rPr>
      </w:pPr>
      <w:r>
        <w:rPr>
          <w:rFonts w:hint="eastAsia" w:ascii="仿宋" w:eastAsia="仿宋" w:cs="Times New Roman"/>
          <w:b/>
          <w:bCs/>
          <w:sz w:val="30"/>
          <w:szCs w:val="30"/>
        </w:rPr>
        <w:t>年度目标6：</w:t>
      </w:r>
      <w:r>
        <w:rPr>
          <w:rFonts w:hint="eastAsia" w:ascii="仿宋" w:eastAsia="仿宋" w:cs="Times New Roman"/>
          <w:sz w:val="30"/>
          <w:szCs w:val="30"/>
        </w:rPr>
        <w:t>组织企业负责人和安全管理人员参加安全管理知识培训，培训人数不得少于300人。</w:t>
      </w:r>
    </w:p>
    <w:p>
      <w:pPr>
        <w:ind w:firstLine="600" w:firstLineChars="200"/>
        <w:rPr>
          <w:rFonts w:ascii="仿宋" w:eastAsia="仿宋" w:cs="Times New Roman"/>
          <w:sz w:val="30"/>
          <w:szCs w:val="30"/>
        </w:rPr>
      </w:pPr>
      <w:r>
        <w:rPr>
          <w:rFonts w:hint="eastAsia" w:ascii="仿宋" w:eastAsia="仿宋" w:cs="Times New Roman"/>
          <w:sz w:val="30"/>
          <w:szCs w:val="30"/>
        </w:rPr>
        <w:t>年度绩效目标：组织企业负责人和安全管理人员参加安全管理知识培训，培训人数不得少于300人；减少企业安全隐患，保证生产顺利进行；提高</w:t>
      </w:r>
      <w:r>
        <w:rPr>
          <w:rFonts w:hint="eastAsia" w:ascii="仿宋" w:eastAsia="仿宋" w:cs="Times New Roman"/>
          <w:sz w:val="30"/>
          <w:szCs w:val="30"/>
          <w:highlight w:val="none"/>
        </w:rPr>
        <w:t>企业负责人和安全管理人员</w:t>
      </w:r>
      <w:r>
        <w:rPr>
          <w:rFonts w:hint="eastAsia" w:ascii="仿宋" w:eastAsia="仿宋" w:cs="Times New Roman"/>
          <w:sz w:val="30"/>
          <w:szCs w:val="30"/>
          <w:highlight w:val="none"/>
          <w:lang w:val="en-US" w:eastAsia="zh-CN"/>
        </w:rPr>
        <w:t>安全</w:t>
      </w:r>
      <w:r>
        <w:rPr>
          <w:rFonts w:hint="eastAsia" w:ascii="仿宋" w:eastAsia="仿宋" w:cs="Times New Roman"/>
          <w:sz w:val="30"/>
          <w:szCs w:val="30"/>
          <w:highlight w:val="none"/>
        </w:rPr>
        <w:t>意识</w:t>
      </w:r>
      <w:r>
        <w:rPr>
          <w:rFonts w:hint="eastAsia" w:ascii="仿宋" w:eastAsia="仿宋" w:cs="Times New Roman"/>
          <w:sz w:val="30"/>
          <w:szCs w:val="30"/>
          <w:highlight w:val="none"/>
          <w:lang w:val="en-US" w:eastAsia="zh-CN"/>
        </w:rPr>
        <w:t>和安全防范技能</w:t>
      </w:r>
      <w:r>
        <w:rPr>
          <w:rFonts w:hint="eastAsia" w:ascii="仿宋" w:eastAsia="仿宋" w:cs="Times New Roman"/>
          <w:sz w:val="30"/>
          <w:szCs w:val="30"/>
          <w:highlight w:val="none"/>
        </w:rPr>
        <w:t>。</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年度绩效目标完成情况如下：</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1）数量指标完成情况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数量指标设置了1个三级指标。组织企业负责人和安全管理人员参加安全管理知识培训。通过评价，该指标均超额完成。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质量指标设置了2个三级指标。实际完成率100%；完成及时率100%，指标均已完成。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社会效益指标设置了</w:t>
      </w:r>
      <w:r>
        <w:rPr>
          <w:rFonts w:hint="eastAsia" w:ascii="仿宋" w:eastAsia="仿宋" w:cs="Times New Roman"/>
          <w:sz w:val="30"/>
          <w:szCs w:val="30"/>
          <w:highlight w:val="none"/>
        </w:rPr>
        <w:t>1个三级指标。提高企业负责人和安全管理人员安全意识，提升安全防范技能。通过评价，该指标已完成。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2）可持续发展影响指标完成情况</w:t>
      </w:r>
    </w:p>
    <w:p>
      <w:pPr>
        <w:ind w:firstLine="600" w:firstLineChars="200"/>
        <w:rPr>
          <w:rFonts w:ascii="仿宋" w:eastAsia="仿宋" w:cs="Times New Roman"/>
          <w:sz w:val="30"/>
          <w:szCs w:val="30"/>
        </w:rPr>
      </w:pPr>
      <w:r>
        <w:rPr>
          <w:rFonts w:hint="eastAsia" w:ascii="仿宋" w:eastAsia="仿宋" w:cs="Times New Roman"/>
          <w:sz w:val="30"/>
          <w:szCs w:val="30"/>
        </w:rPr>
        <w:t>可持续发展影响指标</w:t>
      </w:r>
      <w:r>
        <w:rPr>
          <w:rFonts w:ascii="仿宋" w:eastAsia="仿宋" w:cs="Times New Roman"/>
          <w:sz w:val="30"/>
          <w:szCs w:val="30"/>
        </w:rPr>
        <w:t>设置了</w:t>
      </w:r>
      <w:r>
        <w:rPr>
          <w:rFonts w:hint="eastAsia" w:ascii="仿宋" w:eastAsia="仿宋" w:cs="Times New Roman"/>
          <w:sz w:val="30"/>
          <w:szCs w:val="30"/>
        </w:rPr>
        <w:t>1</w:t>
      </w:r>
      <w:r>
        <w:rPr>
          <w:rFonts w:ascii="仿宋" w:eastAsia="仿宋" w:cs="Times New Roman"/>
          <w:sz w:val="30"/>
          <w:szCs w:val="30"/>
        </w:rPr>
        <w:t>个三级指标。项目经费有保障</w:t>
      </w:r>
      <w:r>
        <w:rPr>
          <w:rFonts w:hint="eastAsia" w:ascii="仿宋" w:eastAsia="仿宋" w:cs="Times New Roman"/>
          <w:sz w:val="30"/>
          <w:szCs w:val="30"/>
        </w:rPr>
        <w:t>。通过评价，经费及时到位，该指标已完成</w:t>
      </w:r>
      <w:r>
        <w:rPr>
          <w:rFonts w:ascii="仿宋" w:eastAsia="仿宋" w:cs="Times New Roman"/>
          <w:sz w:val="30"/>
          <w:szCs w:val="30"/>
        </w:rPr>
        <w:t>。</w:t>
      </w:r>
    </w:p>
    <w:p>
      <w:pPr>
        <w:ind w:firstLine="602" w:firstLineChars="200"/>
        <w:rPr>
          <w:rFonts w:ascii="仿宋" w:eastAsia="仿宋" w:cs="Times New Roman"/>
          <w:sz w:val="30"/>
          <w:szCs w:val="30"/>
        </w:rPr>
      </w:pPr>
      <w:r>
        <w:rPr>
          <w:rFonts w:hint="eastAsia" w:ascii="仿宋" w:eastAsia="仿宋" w:cs="Times New Roman"/>
          <w:b/>
          <w:bCs/>
          <w:sz w:val="30"/>
          <w:szCs w:val="30"/>
        </w:rPr>
        <w:t>年度目标7：</w:t>
      </w:r>
      <w:r>
        <w:rPr>
          <w:rFonts w:hint="eastAsia" w:ascii="仿宋" w:eastAsia="仿宋" w:cs="Times New Roman"/>
          <w:sz w:val="30"/>
          <w:szCs w:val="30"/>
        </w:rPr>
        <w:t>对安全生产领域失信行为开展联合惩戒，对生产经营单位及其有关人员存在失信行为和应纳入“黑名单”管理的，及时纳入联合惩戒和“黑名单”管理信息。</w:t>
      </w:r>
    </w:p>
    <w:p>
      <w:pPr>
        <w:ind w:firstLine="600" w:firstLineChars="200"/>
        <w:rPr>
          <w:rFonts w:ascii="仿宋" w:eastAsia="仿宋" w:cs="Times New Roman"/>
          <w:sz w:val="30"/>
          <w:szCs w:val="30"/>
        </w:rPr>
      </w:pPr>
      <w:r>
        <w:rPr>
          <w:rFonts w:hint="eastAsia" w:ascii="仿宋" w:eastAsia="仿宋" w:cs="Times New Roman"/>
          <w:sz w:val="30"/>
          <w:szCs w:val="30"/>
        </w:rPr>
        <w:t>依据《武汉市安全生产领域失信行为开展联合惩戒实施办法》等有关规定，加强安全生产领域失信行为联合惩戒工作.今年生产经营单位及有关人员暂未出现纳入“黑名单”管理的情形</w:t>
      </w:r>
      <w:r>
        <w:rPr>
          <w:rFonts w:ascii="仿宋" w:eastAsia="仿宋" w:cs="Times New Roman"/>
          <w:sz w:val="30"/>
          <w:szCs w:val="30"/>
        </w:rPr>
        <w:t>。</w:t>
      </w:r>
      <w:r>
        <w:rPr>
          <w:rFonts w:hint="eastAsia" w:ascii="仿宋" w:eastAsia="仿宋" w:cs="Times New Roman"/>
          <w:sz w:val="30"/>
          <w:szCs w:val="30"/>
        </w:rPr>
        <w:t>该指标未完成。</w:t>
      </w:r>
    </w:p>
    <w:p>
      <w:pPr>
        <w:ind w:firstLine="602" w:firstLineChars="200"/>
        <w:rPr>
          <w:rFonts w:ascii="仿宋" w:eastAsia="仿宋" w:cs="Times New Roman"/>
          <w:sz w:val="30"/>
          <w:szCs w:val="30"/>
        </w:rPr>
      </w:pPr>
      <w:r>
        <w:rPr>
          <w:rFonts w:hint="eastAsia" w:ascii="仿宋" w:eastAsia="仿宋" w:cs="Times New Roman"/>
          <w:b/>
          <w:bCs/>
          <w:sz w:val="30"/>
          <w:szCs w:val="30"/>
        </w:rPr>
        <w:t>年度目标8：</w:t>
      </w:r>
      <w:r>
        <w:rPr>
          <w:rFonts w:hint="eastAsia" w:ascii="仿宋" w:eastAsia="仿宋" w:cs="Times New Roman"/>
          <w:sz w:val="30"/>
          <w:szCs w:val="30"/>
        </w:rPr>
        <w:t>及时办理安全生产举报投诉案件及群众信访投诉件，案件办结率100%，回告率100%。</w:t>
      </w:r>
    </w:p>
    <w:p>
      <w:pPr>
        <w:ind w:firstLine="600" w:firstLineChars="200"/>
        <w:rPr>
          <w:rFonts w:ascii="仿宋" w:eastAsia="仿宋" w:cs="Times New Roman"/>
          <w:sz w:val="30"/>
          <w:szCs w:val="30"/>
        </w:rPr>
      </w:pPr>
      <w:r>
        <w:rPr>
          <w:rFonts w:hint="eastAsia" w:ascii="仿宋" w:eastAsia="仿宋" w:cs="Times New Roman"/>
          <w:sz w:val="30"/>
          <w:szCs w:val="30"/>
        </w:rPr>
        <w:t>年度绩效目标：案件办结率100%和回告率100%；保障安全生产，促进社会经济发展；保证生产顺利进行；经费保障到位。</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年度绩效目标完成情况如下：</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质量指标设置了2个三级指标。案件办结率100%、回告率100%。通过评价，该指标均已完成。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社会效益指标设置了1个三级指标。保障安全生产，促进社会经济发展，该指标已完成。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2）可持续发展影响指标完成情况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可持续发展影响指标</w:t>
      </w:r>
      <w:r>
        <w:rPr>
          <w:rFonts w:ascii="仿宋" w:eastAsia="仿宋" w:cs="Times New Roman"/>
          <w:sz w:val="30"/>
          <w:szCs w:val="30"/>
        </w:rPr>
        <w:t>设置了</w:t>
      </w:r>
      <w:r>
        <w:rPr>
          <w:rFonts w:hint="eastAsia" w:ascii="仿宋" w:eastAsia="仿宋" w:cs="Times New Roman"/>
          <w:sz w:val="30"/>
          <w:szCs w:val="30"/>
        </w:rPr>
        <w:t>1</w:t>
      </w:r>
      <w:r>
        <w:rPr>
          <w:rFonts w:ascii="仿宋" w:eastAsia="仿宋" w:cs="Times New Roman"/>
          <w:sz w:val="30"/>
          <w:szCs w:val="30"/>
        </w:rPr>
        <w:t>个三级指标。项目经费有保障</w:t>
      </w:r>
      <w:r>
        <w:rPr>
          <w:rFonts w:hint="eastAsia" w:ascii="仿宋" w:eastAsia="仿宋" w:cs="Times New Roman"/>
          <w:sz w:val="30"/>
          <w:szCs w:val="30"/>
        </w:rPr>
        <w:t>。通过评价，经费保障及时，该指标已完成</w:t>
      </w:r>
      <w:r>
        <w:rPr>
          <w:rFonts w:ascii="仿宋" w:eastAsia="仿宋" w:cs="Times New Roman"/>
          <w:sz w:val="30"/>
          <w:szCs w:val="30"/>
        </w:rPr>
        <w:t>。</w:t>
      </w:r>
    </w:p>
    <w:p>
      <w:pPr>
        <w:ind w:firstLine="602" w:firstLineChars="200"/>
        <w:rPr>
          <w:rFonts w:ascii="仿宋" w:eastAsia="仿宋" w:cs="Times New Roman"/>
          <w:sz w:val="30"/>
          <w:szCs w:val="30"/>
        </w:rPr>
      </w:pPr>
      <w:r>
        <w:rPr>
          <w:rFonts w:hint="eastAsia" w:ascii="仿宋" w:eastAsia="仿宋" w:cs="Times New Roman"/>
          <w:b/>
          <w:bCs/>
          <w:sz w:val="30"/>
          <w:szCs w:val="30"/>
        </w:rPr>
        <w:t>年度目标9：</w:t>
      </w:r>
      <w:r>
        <w:rPr>
          <w:rFonts w:hint="eastAsia" w:ascii="仿宋" w:eastAsia="仿宋" w:cs="Times New Roman"/>
          <w:sz w:val="30"/>
          <w:szCs w:val="30"/>
        </w:rPr>
        <w:t>脱贫攻坚；中央、省生态环保督察反馈问题整改；三级政务服务体系建设。</w:t>
      </w:r>
    </w:p>
    <w:p>
      <w:pPr>
        <w:ind w:firstLine="600" w:firstLineChars="200"/>
        <w:rPr>
          <w:rFonts w:ascii="仿宋" w:eastAsia="仿宋" w:cs="Times New Roman"/>
          <w:sz w:val="30"/>
          <w:szCs w:val="30"/>
        </w:rPr>
      </w:pPr>
      <w:r>
        <w:rPr>
          <w:rFonts w:hint="eastAsia" w:ascii="仿宋" w:eastAsia="仿宋" w:cs="Times New Roman"/>
          <w:sz w:val="30"/>
          <w:szCs w:val="30"/>
        </w:rPr>
        <w:t>年度绩效目标：扶贫村开展疫情防控工作，全面完成脱贫攻坚任务；加强三级政务服务体系建设；提高政务服务水平。</w:t>
      </w:r>
    </w:p>
    <w:p>
      <w:pPr>
        <w:ind w:firstLine="602" w:firstLineChars="200"/>
        <w:rPr>
          <w:rFonts w:ascii="仿宋" w:eastAsia="仿宋" w:cs="Times New Roman"/>
          <w:b/>
          <w:sz w:val="30"/>
          <w:szCs w:val="30"/>
        </w:rPr>
      </w:pPr>
      <w:r>
        <w:rPr>
          <w:rFonts w:hint="eastAsia" w:ascii="仿宋" w:eastAsia="仿宋" w:cs="Times New Roman"/>
          <w:b/>
          <w:sz w:val="30"/>
          <w:szCs w:val="30"/>
        </w:rPr>
        <w:t>年度绩效目标完成情况如下：</w:t>
      </w:r>
      <w:r>
        <w:rPr>
          <w:rFonts w:hint="eastAsia" w:ascii="仿宋" w:eastAsia="仿宋" w:cs="Times New Roman"/>
          <w:b/>
          <w:sz w:val="30"/>
          <w:szCs w:val="30"/>
        </w:rPr>
        <w:tab/>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（1）产出指标完成情况分析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1）数量指标完成情况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数量指标设置了2个三级指标。统筹做好疫情防控和脱贫攻坚工作；</w:t>
      </w:r>
      <w:r>
        <w:rPr>
          <w:rFonts w:hint="eastAsia" w:ascii="仿宋" w:eastAsia="仿宋" w:cs="Times New Roman"/>
          <w:sz w:val="30"/>
          <w:szCs w:val="30"/>
        </w:rPr>
        <w:tab/>
      </w:r>
      <w:r>
        <w:rPr>
          <w:rFonts w:hint="eastAsia" w:ascii="仿宋" w:eastAsia="仿宋" w:cs="Times New Roman"/>
          <w:sz w:val="30"/>
          <w:szCs w:val="30"/>
        </w:rPr>
        <w:t>建设三级政务服务体系。通过评价，达到年度目标值，该指标均已完成。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2）质量指标完成情况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质量指标设置了2个三级指标。实际完成率100%；完成及时率100%。通过评价，该指标均已完成。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（2）效益指标完成情况分析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1）社会效益指标完成情况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社会效益指标设置了1个三级指标。提高政务服务水平。通过评价，该指标已完成。</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2）可持续发展影响指标完成情况</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可持续发展影响指标</w:t>
      </w:r>
      <w:r>
        <w:rPr>
          <w:rFonts w:ascii="仿宋" w:eastAsia="仿宋" w:cs="Times New Roman"/>
          <w:sz w:val="30"/>
          <w:szCs w:val="30"/>
        </w:rPr>
        <w:t>设置了</w:t>
      </w:r>
      <w:r>
        <w:rPr>
          <w:rFonts w:hint="eastAsia" w:ascii="仿宋" w:eastAsia="仿宋" w:cs="Times New Roman"/>
          <w:sz w:val="30"/>
          <w:szCs w:val="30"/>
        </w:rPr>
        <w:t>1</w:t>
      </w:r>
      <w:r>
        <w:rPr>
          <w:rFonts w:ascii="仿宋" w:eastAsia="仿宋" w:cs="Times New Roman"/>
          <w:sz w:val="30"/>
          <w:szCs w:val="30"/>
        </w:rPr>
        <w:t>个三级指标。项目经费有保障</w:t>
      </w:r>
      <w:r>
        <w:rPr>
          <w:rFonts w:hint="eastAsia" w:ascii="仿宋" w:eastAsia="仿宋" w:cs="Times New Roman"/>
          <w:sz w:val="30"/>
          <w:szCs w:val="30"/>
        </w:rPr>
        <w:t>。通过评价，经费及时到位，该指标已完成</w:t>
      </w:r>
      <w:r>
        <w:rPr>
          <w:rFonts w:ascii="仿宋" w:eastAsia="仿宋" w:cs="Times New Roman"/>
          <w:sz w:val="30"/>
          <w:szCs w:val="30"/>
        </w:rPr>
        <w:t>。</w:t>
      </w:r>
    </w:p>
    <w:p>
      <w:pPr>
        <w:spacing w:line="360" w:lineRule="auto"/>
        <w:ind w:firstLine="600" w:firstLineChars="200"/>
        <w:outlineLvl w:val="0"/>
        <w:rPr>
          <w:rFonts w:ascii="黑体" w:eastAsia="黑体" w:cs="Times New Roman"/>
          <w:bCs/>
          <w:color w:val="000000"/>
          <w:sz w:val="30"/>
          <w:szCs w:val="30"/>
        </w:rPr>
      </w:pPr>
      <w:bookmarkStart w:id="5" w:name="_Hlk10726856"/>
      <w:bookmarkStart w:id="6" w:name="_Hlk10729032"/>
      <w:r>
        <w:rPr>
          <w:rFonts w:hint="eastAsia" w:ascii="黑体" w:eastAsia="黑体" w:cs="Times New Roman"/>
          <w:bCs/>
          <w:color w:val="000000"/>
          <w:sz w:val="30"/>
          <w:szCs w:val="30"/>
        </w:rPr>
        <w:t>三、存在的问题和原因</w:t>
      </w:r>
    </w:p>
    <w:bookmarkEnd w:id="4"/>
    <w:bookmarkEnd w:id="5"/>
    <w:bookmarkEnd w:id="6"/>
    <w:p>
      <w:pPr>
        <w:spacing w:line="360" w:lineRule="auto"/>
        <w:ind w:firstLine="600" w:firstLineChars="200"/>
        <w:rPr>
          <w:rFonts w:ascii="仿宋" w:eastAsia="仿宋" w:cs="Times New Roman"/>
          <w:sz w:val="30"/>
          <w:szCs w:val="30"/>
        </w:rPr>
      </w:pPr>
      <w:bookmarkStart w:id="7" w:name="_Hlk10729044"/>
      <w:bookmarkStart w:id="8" w:name="_Hlk10726891"/>
      <w:r>
        <w:rPr>
          <w:rFonts w:hint="eastAsia" w:ascii="仿宋" w:eastAsia="仿宋" w:cs="Times New Roman"/>
          <w:sz w:val="30"/>
          <w:szCs w:val="30"/>
        </w:rPr>
        <w:t>1.年度项目绩效目标申报表填写不完整，部分项目预算申报表未设置三级指标和年度目标值，造成不能有效考核绩效指标和评价绩效目标工作，绩效评价流于形式，无法达到预想的期望。</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2.部门整体支出绩效目标申报表年初未按照新的部门整体支出绩效目标申报表格式编制，部门整体支出绩效目标申报表中年度目标不完整。</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3.预算执行率偏低或超高。编制预算时由于客观原因，无法准确预估来年应急项目经费。由于2020年突发新冠疫情和洪涝灾害，用于新冠疫情和洪涝灾害的费用大大增加，从而导致预算执行率超高，影响了项目预算编制的科学性和合理性</w:t>
      </w:r>
      <w:r>
        <w:rPr>
          <w:rFonts w:ascii="仿宋" w:eastAsia="仿宋" w:cs="Times New Roman"/>
          <w:sz w:val="30"/>
          <w:szCs w:val="30"/>
        </w:rPr>
        <w:t>。</w:t>
      </w:r>
    </w:p>
    <w:p>
      <w:pPr>
        <w:spacing w:line="360" w:lineRule="auto"/>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四、下一步拟改进措施</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1.下一步拟改进措施</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部门整体支出绩效目标申报表作为部门绩效目标审核、预算资</w:t>
      </w:r>
      <w:bookmarkStart w:id="9" w:name="LastView"/>
      <w:r>
        <w:rPr>
          <w:rFonts w:hint="eastAsia" w:ascii="仿宋" w:eastAsia="仿宋" w:cs="Times New Roman"/>
          <w:sz w:val="30"/>
          <w:szCs w:val="30"/>
        </w:rPr>
        <w:t>金确定和绩效评价的主要依据，应认真完整规范填制，逐步建立绩效目标及预算管理体系。</w:t>
      </w:r>
    </w:p>
    <w:bookmarkEnd w:id="9"/>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为提高预算编制准确率，可从下面几个方面改进：一是区应急管理局应加强对预算编制标准的调研，增强预算编制的科学性；二是进一步规范预算管理，促进预算管理与经费支出标准的有机结合，严格划分基本支出和项目支出；三是提高预算编制</w:t>
      </w:r>
      <w:r>
        <w:rPr>
          <w:rFonts w:ascii="仿宋" w:eastAsia="仿宋" w:cs="Times New Roman"/>
          <w:sz w:val="30"/>
          <w:szCs w:val="30"/>
        </w:rPr>
        <w:t>的基础性工作，力求预算完整细化</w:t>
      </w:r>
      <w:r>
        <w:rPr>
          <w:rFonts w:hint="eastAsia" w:ascii="仿宋" w:eastAsia="仿宋" w:cs="Times New Roman"/>
          <w:sz w:val="30"/>
          <w:szCs w:val="30"/>
        </w:rPr>
        <w:t>。强化对支出标准执行情况的监督，有效控制区应急管理局支出；四是加大财政预算投入，对应急救援、防灾减灾救灾等业务工作加大经费投入，补齐我区在这方面的短板，为全区经济建设和发展做出成绩。</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2.拟与预算安排相结合情况</w:t>
      </w:r>
    </w:p>
    <w:p>
      <w:pPr>
        <w:spacing w:line="360" w:lineRule="auto"/>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w:t>
      </w:r>
      <w:r>
        <w:rPr>
          <w:rFonts w:ascii="仿宋" w:eastAsia="仿宋" w:cs="Times New Roman"/>
          <w:sz w:val="30"/>
          <w:szCs w:val="30"/>
          <w:highlight w:val="none"/>
        </w:rPr>
        <w:t>20</w:t>
      </w:r>
      <w:r>
        <w:rPr>
          <w:rFonts w:hint="eastAsia" w:ascii="仿宋" w:eastAsia="仿宋" w:cs="Times New Roman"/>
          <w:sz w:val="30"/>
          <w:szCs w:val="30"/>
          <w:highlight w:val="none"/>
        </w:rPr>
        <w:t>20</w:t>
      </w:r>
      <w:r>
        <w:rPr>
          <w:rFonts w:ascii="仿宋" w:eastAsia="仿宋" w:cs="Times New Roman"/>
          <w:sz w:val="30"/>
          <w:szCs w:val="30"/>
          <w:highlight w:val="none"/>
        </w:rPr>
        <w:t>年</w:t>
      </w:r>
      <w:r>
        <w:rPr>
          <w:rFonts w:hint="eastAsia" w:ascii="仿宋" w:eastAsia="仿宋" w:cs="Times New Roman"/>
          <w:sz w:val="30"/>
          <w:szCs w:val="30"/>
          <w:highlight w:val="none"/>
        </w:rPr>
        <w:t>度整体绩效”评价对预算编制情况进行了关注。区应急管理局2020年度部门预算收入（一般公共预算收入）1,211.99万元，实际预算支出3,628.21万元，执行率为</w:t>
      </w:r>
      <w:r>
        <w:rPr>
          <w:rFonts w:hint="eastAsia" w:ascii="仿宋" w:eastAsia="仿宋" w:cs="Times New Roman"/>
          <w:sz w:val="30"/>
          <w:szCs w:val="30"/>
          <w:highlight w:val="none"/>
          <w:lang w:eastAsia="zh-CN"/>
        </w:rPr>
        <w:t>299.36%</w:t>
      </w:r>
      <w:r>
        <w:rPr>
          <w:rFonts w:hint="eastAsia" w:ascii="仿宋" w:eastAsia="仿宋" w:cs="Times New Roman"/>
          <w:sz w:val="30"/>
          <w:szCs w:val="30"/>
          <w:highlight w:val="none"/>
        </w:rPr>
        <w:t>。</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区应急管理局编制预算时由于客观原因，无法准确预估来年应急项目经费。由于2020年突发新冠疫情和洪涝灾害，用于新冠疫情和洪涝灾害的费用大大增加，从而导致预算执行率超高。</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建议区应急管理局在下一步工作中重点关注，根据历年决算情况，结合单位和社会的大环境要求，在编制下一年度预算时充分考虑收入增减预期，使预算编制更加合理、科学。</w:t>
      </w:r>
    </w:p>
    <w:bookmarkEnd w:id="7"/>
    <w:bookmarkEnd w:id="8"/>
    <w:p>
      <w:pPr>
        <w:spacing w:line="360" w:lineRule="auto"/>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五、绩效评价方法及结果</w:t>
      </w:r>
    </w:p>
    <w:p>
      <w:pPr>
        <w:spacing w:line="360" w:lineRule="auto"/>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1.绩效评价方法</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评价方法主要采用成本效益分析法、比较法、最低成本法、公众评判法、因素分析法等。</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成本效益分析法：是将一定时期内的支出与效益进行对比分析，以评价绩效目标实现程度。</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比较法：是指通过对绩效目标与实施效果、历史与档期情况、不同部门、不用地区同类支出的比较，综合分析绩效目标实现程度。</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最低成本法：是指对效益确定却不易计量的同类对象的实施成本进行比较，评价绩效目标实现程度。</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公众评判法：是指通过专家评估、公众问卷及抽样调查等对财政支出效果进行评判，评价绩效目标实现程度。</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因素分析法：是指通过综合分析影响绩效目标实现、实施效果的内外因素，评价绩效目标实现程度。</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区应急管理局“</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度整体绩效”评价根据其特点和评价工作的要求，选择比较法、公众评判法、统计计算法、实地考察等方法进行绩效评价分析，与此同时，我们将收集大量直接的统计资料进行分析研究。</w:t>
      </w:r>
    </w:p>
    <w:p>
      <w:pPr>
        <w:spacing w:line="360" w:lineRule="auto"/>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w:t>
      </w:r>
      <w:r>
        <w:rPr>
          <w:rFonts w:ascii="黑体" w:eastAsia="黑体" w:cs="Times New Roman"/>
          <w:bCs/>
          <w:color w:val="000000"/>
          <w:sz w:val="30"/>
          <w:szCs w:val="30"/>
        </w:rPr>
        <w:t>评价结果</w:t>
      </w:r>
    </w:p>
    <w:p>
      <w:pPr>
        <w:spacing w:line="360" w:lineRule="auto"/>
        <w:ind w:firstLine="600" w:firstLineChars="200"/>
        <w:rPr>
          <w:rFonts w:ascii="仿宋" w:eastAsia="仿宋" w:cs="Times New Roman"/>
          <w:sz w:val="30"/>
          <w:szCs w:val="30"/>
          <w:highlight w:val="yellow"/>
        </w:rPr>
      </w:pPr>
      <w:r>
        <w:rPr>
          <w:rFonts w:hint="eastAsia" w:ascii="仿宋" w:eastAsia="仿宋" w:cs="Times New Roman"/>
          <w:sz w:val="30"/>
          <w:szCs w:val="30"/>
        </w:rPr>
        <w:t>区应急管理局按“2020年度整体绩效”评价的要求逐步实施，有效地完成整体年度目标，通过“2020年度整体绩效”实施逐步健全应急管理体制，有序应急管理法制化，安全生产工作稳中趋好。</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对于本次绩效评价中能获得数据的绩效指标，均完成了年度绩效目标值，“2020年度整体绩效”评价结果为“良好”。</w:t>
      </w:r>
    </w:p>
    <w:p>
      <w:pPr>
        <w:ind w:firstLine="600" w:firstLineChars="200"/>
        <w:rPr>
          <w:rFonts w:ascii="仿宋" w:eastAsia="仿宋" w:cs="Times New Roman"/>
          <w:sz w:val="30"/>
          <w:szCs w:val="30"/>
        </w:rPr>
      </w:pPr>
    </w:p>
    <w:p>
      <w:pPr>
        <w:widowControl/>
        <w:jc w:val="left"/>
        <w:rPr>
          <w:rFonts w:ascii="楷体_GB2312" w:eastAsia="楷体_GB2312" w:cs="Times New Roman"/>
          <w:sz w:val="24"/>
          <w:szCs w:val="24"/>
        </w:rPr>
      </w:pPr>
      <w:r>
        <w:rPr>
          <w:rFonts w:ascii="仿宋" w:eastAsia="仿宋" w:cs="Times New Roman"/>
          <w:sz w:val="30"/>
          <w:szCs w:val="30"/>
        </w:rPr>
        <w:br w:type="page"/>
      </w:r>
      <w:r>
        <w:rPr>
          <w:rFonts w:hint="eastAsia" w:ascii="仿宋" w:hAnsi="仿宋" w:eastAsia="仿宋" w:cs="仿宋"/>
          <w:sz w:val="24"/>
        </w:rPr>
        <w:t>附件：</w:t>
      </w:r>
      <w:r>
        <w:rPr>
          <w:rFonts w:hint="eastAsia" w:ascii="楷体_GB2312" w:eastAsia="楷体_GB2312" w:cs="Times New Roman"/>
          <w:sz w:val="24"/>
          <w:szCs w:val="24"/>
        </w:rPr>
        <w:t xml:space="preserve"> </w:t>
      </w:r>
    </w:p>
    <w:p>
      <w:pPr>
        <w:widowControl/>
        <w:jc w:val="left"/>
        <w:rPr>
          <w:rFonts w:ascii="仿宋" w:hAnsi="仿宋" w:eastAsia="仿宋" w:cs="仿宋"/>
          <w:sz w:val="24"/>
          <w:szCs w:val="24"/>
        </w:rPr>
      </w:pPr>
    </w:p>
    <w:p>
      <w:pPr>
        <w:rPr>
          <w:rFonts w:ascii="仿宋" w:hAnsi="仿宋" w:eastAsia="仿宋" w:cs="仿宋"/>
          <w:sz w:val="24"/>
        </w:rPr>
      </w:pPr>
      <w:r>
        <w:rPr>
          <w:rFonts w:hint="eastAsia" w:ascii="仿宋" w:hAnsi="仿宋" w:eastAsia="仿宋" w:cs="仿宋"/>
          <w:sz w:val="24"/>
        </w:rPr>
        <w:t>1. “2020年度武汉市蔡甸区应急管理局部门整体绩效”自评表</w:t>
      </w:r>
    </w:p>
    <w:p>
      <w:pPr>
        <w:adjustRightInd w:val="0"/>
        <w:snapToGrid w:val="0"/>
        <w:spacing w:line="450" w:lineRule="exact"/>
        <w:rPr>
          <w:rFonts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rPr>
        <w:t>审计机构营业执照复印件</w:t>
      </w:r>
    </w:p>
    <w:p>
      <w:pPr>
        <w:adjustRightInd w:val="0"/>
        <w:snapToGrid w:val="0"/>
        <w:spacing w:line="450" w:lineRule="exact"/>
        <w:rPr>
          <w:rFonts w:ascii="仿宋" w:hAnsi="仿宋" w:eastAsia="仿宋" w:cs="仿宋"/>
          <w:sz w:val="24"/>
        </w:rPr>
      </w:pPr>
      <w:r>
        <w:rPr>
          <w:rFonts w:hint="eastAsia" w:ascii="仿宋" w:hAnsi="仿宋" w:eastAsia="仿宋" w:cs="仿宋"/>
          <w:sz w:val="24"/>
          <w:szCs w:val="24"/>
        </w:rPr>
        <w:t>3．</w:t>
      </w:r>
      <w:r>
        <w:rPr>
          <w:rFonts w:hint="eastAsia" w:ascii="仿宋" w:hAnsi="仿宋" w:eastAsia="仿宋" w:cs="仿宋"/>
          <w:sz w:val="24"/>
        </w:rPr>
        <w:t>审计机构执业证书复印件</w:t>
      </w:r>
    </w:p>
    <w:p>
      <w:pPr>
        <w:adjustRightInd w:val="0"/>
        <w:snapToGrid w:val="0"/>
        <w:spacing w:line="450" w:lineRule="exact"/>
        <w:rPr>
          <w:rFonts w:ascii="仿宋" w:hAnsi="仿宋" w:eastAsia="仿宋" w:cs="仿宋"/>
          <w:sz w:val="24"/>
        </w:rPr>
      </w:pPr>
      <w:r>
        <w:rPr>
          <w:rFonts w:hint="eastAsia" w:ascii="仿宋" w:hAnsi="仿宋" w:eastAsia="仿宋" w:cs="仿宋"/>
          <w:kern w:val="0"/>
          <w:sz w:val="28"/>
          <w:szCs w:val="28"/>
        </w:rPr>
        <w:t>4.</w:t>
      </w:r>
      <w:r>
        <w:rPr>
          <w:rFonts w:hint="eastAsia" w:ascii="仿宋" w:hAnsi="仿宋" w:eastAsia="仿宋" w:cs="仿宋"/>
          <w:sz w:val="24"/>
        </w:rPr>
        <w:t xml:space="preserve"> 注册会计师执业资格证书复印件</w:t>
      </w: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spacing w:line="480" w:lineRule="auto"/>
        <w:rPr>
          <w:rFonts w:ascii="楷体_GB2312" w:eastAsia="楷体_GB2312" w:cs="Times New Roman"/>
          <w:sz w:val="28"/>
        </w:rPr>
      </w:pPr>
      <w:r>
        <w:rPr>
          <w:rFonts w:hint="eastAsia" w:ascii="楷体_GB2312" w:eastAsia="楷体_GB2312" w:cs="Times New Roman"/>
          <w:sz w:val="28"/>
        </w:rPr>
        <w:t>湖北正大会计师事务有限责任公司        中国注册会计师：</w:t>
      </w:r>
      <w:r>
        <w:rPr>
          <w:rFonts w:hint="eastAsia" w:ascii="楷体_GB2312" w:eastAsia="楷体_GB2312" w:cs="Times New Roman"/>
          <w:sz w:val="28"/>
          <w:lang w:eastAsia="zh-CN"/>
        </w:rPr>
        <w:t>陈菊英</w:t>
      </w:r>
      <w:r>
        <w:rPr>
          <w:rFonts w:ascii="楷体_GB2312" w:eastAsia="楷体_GB2312" w:cs="Times New Roman"/>
          <w:sz w:val="28"/>
        </w:rPr>
        <w:t xml:space="preserve"> </w:t>
      </w:r>
    </w:p>
    <w:p>
      <w:pPr>
        <w:spacing w:line="480" w:lineRule="auto"/>
        <w:rPr>
          <w:rFonts w:ascii="楷体_GB2312" w:eastAsia="楷体_GB2312" w:cs="Times New Roman"/>
          <w:sz w:val="28"/>
        </w:rPr>
      </w:pPr>
      <w:r>
        <w:rPr>
          <w:rFonts w:hint="eastAsia" w:ascii="楷体_GB2312" w:eastAsia="楷体_GB2312" w:cs="Times New Roman"/>
          <w:sz w:val="28"/>
        </w:rPr>
        <w:t xml:space="preserve">         中国</w:t>
      </w:r>
      <w:r>
        <w:rPr>
          <w:rFonts w:hint="eastAsia" w:ascii="宋体" w:cs="宋体"/>
          <w:sz w:val="28"/>
        </w:rPr>
        <w:t>•</w:t>
      </w:r>
      <w:r>
        <w:rPr>
          <w:rFonts w:hint="eastAsia" w:ascii="楷体_GB2312" w:eastAsia="楷体_GB2312" w:cs="楷体_GB2312"/>
          <w:sz w:val="28"/>
        </w:rPr>
        <w:t>武汉</w:t>
      </w:r>
    </w:p>
    <w:p>
      <w:pPr>
        <w:spacing w:line="480" w:lineRule="auto"/>
        <w:rPr>
          <w:rFonts w:hint="eastAsia" w:ascii="楷体_GB2312" w:eastAsia="楷体_GB2312" w:cs="Times New Roman"/>
          <w:sz w:val="28"/>
          <w:lang w:eastAsia="zh-CN"/>
        </w:rPr>
      </w:pPr>
      <w:r>
        <w:rPr>
          <w:rFonts w:hint="eastAsia" w:ascii="楷体_GB2312" w:eastAsia="楷体_GB2312" w:cs="Times New Roman"/>
          <w:sz w:val="28"/>
        </w:rPr>
        <w:t xml:space="preserve">  </w:t>
      </w:r>
      <w:r>
        <w:rPr>
          <w:rFonts w:ascii="楷体_GB2312" w:eastAsia="楷体_GB2312" w:cs="Times New Roman"/>
          <w:sz w:val="28"/>
        </w:rPr>
        <w:t xml:space="preserve">                                   </w:t>
      </w:r>
      <w:r>
        <w:rPr>
          <w:rFonts w:hint="eastAsia" w:ascii="楷体_GB2312" w:eastAsia="楷体_GB2312" w:cs="Times New Roman"/>
          <w:sz w:val="28"/>
        </w:rPr>
        <w:t xml:space="preserve"> 中国注册会计师</w:t>
      </w:r>
      <w:r>
        <w:rPr>
          <w:rFonts w:hint="eastAsia" w:ascii="楷体_GB2312" w:eastAsia="楷体_GB2312" w:cs="Times New Roman"/>
          <w:sz w:val="28"/>
          <w:lang w:eastAsia="zh-CN"/>
        </w:rPr>
        <w:t>：张依为</w:t>
      </w:r>
    </w:p>
    <w:p>
      <w:pPr>
        <w:rPr>
          <w:rFonts w:ascii="楷体_GB2312" w:eastAsia="楷体_GB2312" w:cs="Times New Roman"/>
          <w:sz w:val="28"/>
          <w:szCs w:val="28"/>
        </w:rPr>
      </w:pPr>
      <w:r>
        <w:rPr>
          <w:rFonts w:hint="eastAsia" w:ascii="楷体_GB2312" w:eastAsia="楷体_GB2312" w:cs="Times New Roman"/>
          <w:sz w:val="28"/>
          <w:szCs w:val="28"/>
        </w:rPr>
        <w:t xml:space="preserve">         </w:t>
      </w:r>
      <w:r>
        <w:rPr>
          <w:rFonts w:ascii="楷体_GB2312" w:eastAsia="楷体_GB2312" w:cs="Times New Roman"/>
          <w:sz w:val="28"/>
          <w:szCs w:val="28"/>
        </w:rPr>
        <w:t xml:space="preserve">                             202</w:t>
      </w:r>
      <w:r>
        <w:rPr>
          <w:rFonts w:hint="eastAsia" w:ascii="楷体_GB2312" w:eastAsia="楷体_GB2312" w:cs="Times New Roman"/>
          <w:sz w:val="28"/>
          <w:szCs w:val="28"/>
        </w:rPr>
        <w:t>1年03月2</w:t>
      </w:r>
      <w:r>
        <w:rPr>
          <w:rFonts w:hint="eastAsia" w:ascii="楷体_GB2312" w:eastAsia="楷体_GB2312" w:cs="Times New Roman"/>
          <w:sz w:val="28"/>
          <w:szCs w:val="28"/>
          <w:lang w:val="en-US" w:eastAsia="zh-CN"/>
        </w:rPr>
        <w:t>5</w:t>
      </w:r>
      <w:r>
        <w:rPr>
          <w:rFonts w:hint="eastAsia" w:ascii="楷体_GB2312" w:eastAsia="楷体_GB2312" w:cs="Times New Roman"/>
          <w:sz w:val="28"/>
          <w:szCs w:val="28"/>
        </w:rPr>
        <w:t>日</w:t>
      </w: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160" w:firstLineChars="1200"/>
      <w:jc w:val="both"/>
    </w:pPr>
    <w:r>
      <w:rPr>
        <w:rFonts w:hint="eastAsia"/>
      </w:rPr>
      <w:t xml:space="preserve"> 武汉市蔡甸区应急管理局2020年度整体绩效评价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696E2"/>
    <w:multiLevelType w:val="singleLevel"/>
    <w:tmpl w:val="67E696E2"/>
    <w:lvl w:ilvl="0" w:tentative="0">
      <w:start w:val="2"/>
      <w:numFmt w:val="decimal"/>
      <w:suff w:val="nothing"/>
      <w:lvlText w:val="%1）"/>
      <w:lvlJc w:val="left"/>
    </w:lvl>
  </w:abstractNum>
  <w:abstractNum w:abstractNumId="1">
    <w:nsid w:val="7B84CAAD"/>
    <w:multiLevelType w:val="singleLevel"/>
    <w:tmpl w:val="7B84CAA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172A27"/>
    <w:rsid w:val="000134F5"/>
    <w:rsid w:val="0001416E"/>
    <w:rsid w:val="000228AD"/>
    <w:rsid w:val="00024911"/>
    <w:rsid w:val="00041E1D"/>
    <w:rsid w:val="00042071"/>
    <w:rsid w:val="00057E00"/>
    <w:rsid w:val="00063132"/>
    <w:rsid w:val="000A458B"/>
    <w:rsid w:val="000A574C"/>
    <w:rsid w:val="000B45B7"/>
    <w:rsid w:val="000C66A4"/>
    <w:rsid w:val="000D57AD"/>
    <w:rsid w:val="000D6133"/>
    <w:rsid w:val="000E28E4"/>
    <w:rsid w:val="000E5873"/>
    <w:rsid w:val="00107969"/>
    <w:rsid w:val="001142BF"/>
    <w:rsid w:val="00114706"/>
    <w:rsid w:val="0014225B"/>
    <w:rsid w:val="00147780"/>
    <w:rsid w:val="00172A27"/>
    <w:rsid w:val="001A410E"/>
    <w:rsid w:val="001B2B67"/>
    <w:rsid w:val="001B6EF0"/>
    <w:rsid w:val="001C2FD6"/>
    <w:rsid w:val="00203830"/>
    <w:rsid w:val="0020608E"/>
    <w:rsid w:val="002519E2"/>
    <w:rsid w:val="00257BF1"/>
    <w:rsid w:val="00286064"/>
    <w:rsid w:val="00294AB1"/>
    <w:rsid w:val="002A079B"/>
    <w:rsid w:val="002B1BB1"/>
    <w:rsid w:val="002D2B7C"/>
    <w:rsid w:val="002D4C5D"/>
    <w:rsid w:val="002D5404"/>
    <w:rsid w:val="002E3C6B"/>
    <w:rsid w:val="002E63C7"/>
    <w:rsid w:val="002F16D6"/>
    <w:rsid w:val="0032399F"/>
    <w:rsid w:val="00325353"/>
    <w:rsid w:val="003343B8"/>
    <w:rsid w:val="00336C38"/>
    <w:rsid w:val="00337D27"/>
    <w:rsid w:val="00344D5A"/>
    <w:rsid w:val="0037424C"/>
    <w:rsid w:val="003804D0"/>
    <w:rsid w:val="00386C40"/>
    <w:rsid w:val="003E74C6"/>
    <w:rsid w:val="00414521"/>
    <w:rsid w:val="0042261D"/>
    <w:rsid w:val="00426CA9"/>
    <w:rsid w:val="004541AD"/>
    <w:rsid w:val="00455005"/>
    <w:rsid w:val="004650D3"/>
    <w:rsid w:val="004678E9"/>
    <w:rsid w:val="00470975"/>
    <w:rsid w:val="00485081"/>
    <w:rsid w:val="00493B01"/>
    <w:rsid w:val="00495E7C"/>
    <w:rsid w:val="004B0254"/>
    <w:rsid w:val="004B3F73"/>
    <w:rsid w:val="004C3A1E"/>
    <w:rsid w:val="004D6D4E"/>
    <w:rsid w:val="004F010D"/>
    <w:rsid w:val="004F2ACB"/>
    <w:rsid w:val="004F762F"/>
    <w:rsid w:val="00502A23"/>
    <w:rsid w:val="00524578"/>
    <w:rsid w:val="00553EB9"/>
    <w:rsid w:val="005A1754"/>
    <w:rsid w:val="005C4980"/>
    <w:rsid w:val="005D6386"/>
    <w:rsid w:val="005E1FA3"/>
    <w:rsid w:val="005F303A"/>
    <w:rsid w:val="00613563"/>
    <w:rsid w:val="00623048"/>
    <w:rsid w:val="00625956"/>
    <w:rsid w:val="00631DAE"/>
    <w:rsid w:val="0063256C"/>
    <w:rsid w:val="00634B25"/>
    <w:rsid w:val="006435F4"/>
    <w:rsid w:val="00653E94"/>
    <w:rsid w:val="006701B7"/>
    <w:rsid w:val="00673226"/>
    <w:rsid w:val="0067644B"/>
    <w:rsid w:val="00681116"/>
    <w:rsid w:val="006923DB"/>
    <w:rsid w:val="006A4510"/>
    <w:rsid w:val="006B4C11"/>
    <w:rsid w:val="006D6C95"/>
    <w:rsid w:val="006F4CC0"/>
    <w:rsid w:val="007046B6"/>
    <w:rsid w:val="0070576B"/>
    <w:rsid w:val="007153CD"/>
    <w:rsid w:val="00722E99"/>
    <w:rsid w:val="007343B6"/>
    <w:rsid w:val="00736834"/>
    <w:rsid w:val="00756B50"/>
    <w:rsid w:val="00756C28"/>
    <w:rsid w:val="007707E7"/>
    <w:rsid w:val="00791FE5"/>
    <w:rsid w:val="00792155"/>
    <w:rsid w:val="007B427D"/>
    <w:rsid w:val="007B6CD0"/>
    <w:rsid w:val="007E50E9"/>
    <w:rsid w:val="007F165C"/>
    <w:rsid w:val="007F22D7"/>
    <w:rsid w:val="008034D0"/>
    <w:rsid w:val="00803606"/>
    <w:rsid w:val="00813198"/>
    <w:rsid w:val="008146AC"/>
    <w:rsid w:val="008304DD"/>
    <w:rsid w:val="00854B62"/>
    <w:rsid w:val="008578A8"/>
    <w:rsid w:val="00857F90"/>
    <w:rsid w:val="00882FE0"/>
    <w:rsid w:val="00893EDB"/>
    <w:rsid w:val="008942B8"/>
    <w:rsid w:val="008A232D"/>
    <w:rsid w:val="008C00AC"/>
    <w:rsid w:val="008C337F"/>
    <w:rsid w:val="008D1527"/>
    <w:rsid w:val="008F241F"/>
    <w:rsid w:val="008F652E"/>
    <w:rsid w:val="00902AC4"/>
    <w:rsid w:val="009052AC"/>
    <w:rsid w:val="009106D3"/>
    <w:rsid w:val="0091574C"/>
    <w:rsid w:val="009279CA"/>
    <w:rsid w:val="00930966"/>
    <w:rsid w:val="00946964"/>
    <w:rsid w:val="00946FEE"/>
    <w:rsid w:val="00960AC7"/>
    <w:rsid w:val="00970976"/>
    <w:rsid w:val="00977212"/>
    <w:rsid w:val="0097789C"/>
    <w:rsid w:val="00985B5A"/>
    <w:rsid w:val="00986793"/>
    <w:rsid w:val="00992798"/>
    <w:rsid w:val="009970E1"/>
    <w:rsid w:val="009A0D2E"/>
    <w:rsid w:val="009E1402"/>
    <w:rsid w:val="00A003CE"/>
    <w:rsid w:val="00A0668E"/>
    <w:rsid w:val="00A070A4"/>
    <w:rsid w:val="00A12DD9"/>
    <w:rsid w:val="00A22F91"/>
    <w:rsid w:val="00A24593"/>
    <w:rsid w:val="00A2710D"/>
    <w:rsid w:val="00A32517"/>
    <w:rsid w:val="00A3507D"/>
    <w:rsid w:val="00A47CD9"/>
    <w:rsid w:val="00A63102"/>
    <w:rsid w:val="00A63886"/>
    <w:rsid w:val="00A65F3A"/>
    <w:rsid w:val="00A66B72"/>
    <w:rsid w:val="00A8055E"/>
    <w:rsid w:val="00A86EB9"/>
    <w:rsid w:val="00AD6443"/>
    <w:rsid w:val="00AE4EBB"/>
    <w:rsid w:val="00AF2750"/>
    <w:rsid w:val="00AF2A03"/>
    <w:rsid w:val="00AF3F58"/>
    <w:rsid w:val="00AF6C2E"/>
    <w:rsid w:val="00B0579A"/>
    <w:rsid w:val="00B06843"/>
    <w:rsid w:val="00B06A06"/>
    <w:rsid w:val="00B2214B"/>
    <w:rsid w:val="00B346B0"/>
    <w:rsid w:val="00B35644"/>
    <w:rsid w:val="00B42D0F"/>
    <w:rsid w:val="00B5274F"/>
    <w:rsid w:val="00B613A4"/>
    <w:rsid w:val="00B73F66"/>
    <w:rsid w:val="00B76299"/>
    <w:rsid w:val="00BD4EE4"/>
    <w:rsid w:val="00BF060A"/>
    <w:rsid w:val="00C020CA"/>
    <w:rsid w:val="00C239AA"/>
    <w:rsid w:val="00C33DB3"/>
    <w:rsid w:val="00C44658"/>
    <w:rsid w:val="00C45B86"/>
    <w:rsid w:val="00C4646E"/>
    <w:rsid w:val="00C60244"/>
    <w:rsid w:val="00C72AB2"/>
    <w:rsid w:val="00C75A50"/>
    <w:rsid w:val="00C80BCD"/>
    <w:rsid w:val="00CA25F7"/>
    <w:rsid w:val="00CA7F5A"/>
    <w:rsid w:val="00CD71EB"/>
    <w:rsid w:val="00CE6CC8"/>
    <w:rsid w:val="00CF5611"/>
    <w:rsid w:val="00D03723"/>
    <w:rsid w:val="00D212B6"/>
    <w:rsid w:val="00D37B04"/>
    <w:rsid w:val="00D421AA"/>
    <w:rsid w:val="00D44018"/>
    <w:rsid w:val="00D61E43"/>
    <w:rsid w:val="00D63DDB"/>
    <w:rsid w:val="00D65115"/>
    <w:rsid w:val="00D715FC"/>
    <w:rsid w:val="00D767D6"/>
    <w:rsid w:val="00D952BA"/>
    <w:rsid w:val="00DA4977"/>
    <w:rsid w:val="00DB592B"/>
    <w:rsid w:val="00DC126B"/>
    <w:rsid w:val="00DC1C2D"/>
    <w:rsid w:val="00DC669F"/>
    <w:rsid w:val="00DD5F70"/>
    <w:rsid w:val="00DF51E2"/>
    <w:rsid w:val="00E145E3"/>
    <w:rsid w:val="00E15A74"/>
    <w:rsid w:val="00E16C76"/>
    <w:rsid w:val="00E21DE7"/>
    <w:rsid w:val="00E23151"/>
    <w:rsid w:val="00E27F36"/>
    <w:rsid w:val="00E3293F"/>
    <w:rsid w:val="00E403F7"/>
    <w:rsid w:val="00E4459A"/>
    <w:rsid w:val="00E54366"/>
    <w:rsid w:val="00E641DA"/>
    <w:rsid w:val="00E67A92"/>
    <w:rsid w:val="00E92299"/>
    <w:rsid w:val="00E961A7"/>
    <w:rsid w:val="00EA4470"/>
    <w:rsid w:val="00EA54C9"/>
    <w:rsid w:val="00EB70BC"/>
    <w:rsid w:val="00EC2F9A"/>
    <w:rsid w:val="00ED2A3A"/>
    <w:rsid w:val="00EE10B1"/>
    <w:rsid w:val="00F0128E"/>
    <w:rsid w:val="00F36087"/>
    <w:rsid w:val="00F557FC"/>
    <w:rsid w:val="00F70D91"/>
    <w:rsid w:val="00F9457D"/>
    <w:rsid w:val="00FD66C9"/>
    <w:rsid w:val="00FF6431"/>
    <w:rsid w:val="01D068FD"/>
    <w:rsid w:val="04155720"/>
    <w:rsid w:val="04415E48"/>
    <w:rsid w:val="079456F0"/>
    <w:rsid w:val="0E934F6A"/>
    <w:rsid w:val="0FCE679F"/>
    <w:rsid w:val="10124836"/>
    <w:rsid w:val="13897791"/>
    <w:rsid w:val="15D9448D"/>
    <w:rsid w:val="19AF252B"/>
    <w:rsid w:val="1FB06213"/>
    <w:rsid w:val="237C53D1"/>
    <w:rsid w:val="2913613D"/>
    <w:rsid w:val="2AAD07FE"/>
    <w:rsid w:val="2F885E61"/>
    <w:rsid w:val="30657CF7"/>
    <w:rsid w:val="3492619E"/>
    <w:rsid w:val="37146A23"/>
    <w:rsid w:val="3A3C5A73"/>
    <w:rsid w:val="3B2F6752"/>
    <w:rsid w:val="3D5B7BA0"/>
    <w:rsid w:val="41523A37"/>
    <w:rsid w:val="41595082"/>
    <w:rsid w:val="49912B95"/>
    <w:rsid w:val="4B0069DD"/>
    <w:rsid w:val="4D227568"/>
    <w:rsid w:val="4F985219"/>
    <w:rsid w:val="51454FA1"/>
    <w:rsid w:val="53172537"/>
    <w:rsid w:val="535431E9"/>
    <w:rsid w:val="63270C78"/>
    <w:rsid w:val="65FD5F49"/>
    <w:rsid w:val="66174708"/>
    <w:rsid w:val="71C820CF"/>
    <w:rsid w:val="73AB7197"/>
    <w:rsid w:val="74986846"/>
    <w:rsid w:val="782F95D5"/>
    <w:rsid w:val="7E25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Date"/>
    <w:basedOn w:val="1"/>
    <w:next w:val="1"/>
    <w:link w:val="16"/>
    <w:semiHidden/>
    <w:unhideWhenUsed/>
    <w:qFormat/>
    <w:uiPriority w:val="99"/>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0">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styleId="13">
    <w:name w:val="Hyperlink"/>
    <w:basedOn w:val="12"/>
    <w:semiHidden/>
    <w:unhideWhenUsed/>
    <w:qFormat/>
    <w:uiPriority w:val="99"/>
    <w:rPr>
      <w:color w:val="0000FF"/>
      <w:u w:val="single"/>
    </w:rPr>
  </w:style>
  <w:style w:type="character" w:customStyle="1" w:styleId="14">
    <w:name w:val="标题 Char"/>
    <w:basedOn w:val="12"/>
    <w:qFormat/>
    <w:uiPriority w:val="0"/>
    <w:rPr>
      <w:rFonts w:ascii="Calibri" w:hAnsi="Calibri" w:eastAsia="宋体" w:cs="Arial"/>
      <w:b/>
      <w:bCs/>
      <w:sz w:val="32"/>
      <w:szCs w:val="32"/>
    </w:rPr>
  </w:style>
  <w:style w:type="paragraph" w:customStyle="1" w:styleId="15">
    <w:name w:val="列表段落1"/>
    <w:basedOn w:val="1"/>
    <w:qFormat/>
    <w:uiPriority w:val="0"/>
    <w:pPr>
      <w:ind w:firstLine="200" w:firstLineChars="200"/>
    </w:pPr>
  </w:style>
  <w:style w:type="character" w:customStyle="1" w:styleId="16">
    <w:name w:val="日期 Char"/>
    <w:basedOn w:val="12"/>
    <w:link w:val="5"/>
    <w:semiHidden/>
    <w:qFormat/>
    <w:uiPriority w:val="99"/>
    <w:rPr>
      <w:rFonts w:ascii="Calibri" w:hAnsi="Calibri" w:cs="Arial"/>
      <w:kern w:val="2"/>
      <w:sz w:val="21"/>
      <w:szCs w:val="22"/>
    </w:rPr>
  </w:style>
  <w:style w:type="paragraph" w:styleId="17">
    <w:name w:val="List Paragraph"/>
    <w:basedOn w:val="1"/>
    <w:unhideWhenUsed/>
    <w:qFormat/>
    <w:uiPriority w:val="99"/>
    <w:pPr>
      <w:ind w:firstLine="420" w:firstLineChars="200"/>
    </w:pPr>
  </w:style>
  <w:style w:type="character" w:customStyle="1" w:styleId="18">
    <w:name w:val="font7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2160</Words>
  <Characters>12316</Characters>
  <Lines>102</Lines>
  <Paragraphs>28</Paragraphs>
  <TotalTime>0</TotalTime>
  <ScaleCrop>false</ScaleCrop>
  <LinksUpToDate>false</LinksUpToDate>
  <CharactersWithSpaces>14448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2019-06-11T15:18:00Z</dcterms:created>
  <dc:creator>lenovo</dc:creator>
  <cp:lastModifiedBy>user</cp:lastModifiedBy>
  <cp:lastPrinted>2021-03-17T21:22:00Z</cp:lastPrinted>
  <dcterms:modified xsi:type="dcterms:W3CDTF">2024-10-17T16:52:10Z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5D5F63B05168440A86EA901FC24852C6</vt:lpwstr>
  </property>
</Properties>
</file>