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12" w:afterLines="100"/>
        <w:jc w:val="center"/>
        <w:rPr>
          <w:rFonts w:ascii="方正小标宋简体" w:hAnsi="Times New Roman" w:eastAsia="方正小标宋简体" w:cs="Times New Roman"/>
          <w:sz w:val="36"/>
          <w:szCs w:val="36"/>
        </w:rPr>
      </w:pPr>
      <w:r>
        <w:rPr>
          <w:rFonts w:hint="eastAsia" w:ascii="方正小标宋简体" w:hAnsi="Times New Roman" w:eastAsia="方正小标宋简体" w:cs="方正小标宋简体"/>
          <w:sz w:val="36"/>
          <w:szCs w:val="36"/>
        </w:rPr>
        <w:t>部门整体支出绩效目标申报表</w:t>
      </w:r>
    </w:p>
    <w:p>
      <w:pPr>
        <w:widowControl/>
        <w:rPr>
          <w:rFonts w:ascii="宋体" w:hAnsi="宋体" w:eastAsia="宋体" w:cs="Times New Roman"/>
        </w:rPr>
      </w:pPr>
      <w:r>
        <w:rPr>
          <w:rFonts w:hint="eastAsia" w:ascii="宋体" w:hAnsi="宋体" w:eastAsia="宋体" w:cs="楷体_GB2312"/>
        </w:rPr>
        <w:t>填报日期：</w:t>
      </w:r>
      <w:r>
        <w:rPr>
          <w:rFonts w:ascii="宋体" w:hAnsi="宋体" w:eastAsia="宋体" w:cs="楷体_GB2312"/>
        </w:rPr>
        <w:t xml:space="preserve">  </w:t>
      </w:r>
      <w:r>
        <w:rPr>
          <w:rFonts w:hint="eastAsia" w:ascii="宋体" w:hAnsi="宋体" w:eastAsia="宋体" w:cs="楷体_GB2312"/>
        </w:rPr>
        <w:t>2022</w:t>
      </w:r>
      <w:r>
        <w:rPr>
          <w:rFonts w:ascii="宋体" w:hAnsi="宋体" w:eastAsia="宋体" w:cs="楷体_GB2312"/>
        </w:rPr>
        <w:t xml:space="preserve">  </w:t>
      </w:r>
      <w:r>
        <w:rPr>
          <w:rFonts w:hint="eastAsia" w:ascii="宋体" w:hAnsi="宋体" w:eastAsia="宋体" w:cs="楷体_GB2312"/>
        </w:rPr>
        <w:t>年</w:t>
      </w:r>
      <w:r>
        <w:rPr>
          <w:rFonts w:ascii="宋体" w:hAnsi="宋体" w:eastAsia="宋体" w:cs="楷体_GB2312"/>
        </w:rPr>
        <w:t xml:space="preserve">  </w:t>
      </w:r>
      <w:r>
        <w:rPr>
          <w:rFonts w:hint="eastAsia" w:ascii="宋体" w:hAnsi="宋体" w:eastAsia="宋体" w:cs="楷体_GB2312"/>
        </w:rPr>
        <w:t>12</w:t>
      </w:r>
      <w:r>
        <w:rPr>
          <w:rFonts w:ascii="宋体" w:hAnsi="宋体" w:eastAsia="宋体" w:cs="楷体_GB2312"/>
        </w:rPr>
        <w:t xml:space="preserve"> </w:t>
      </w:r>
      <w:r>
        <w:rPr>
          <w:rFonts w:hint="eastAsia" w:ascii="宋体" w:hAnsi="宋体" w:eastAsia="宋体" w:cs="楷体_GB2312"/>
        </w:rPr>
        <w:t>月</w:t>
      </w:r>
      <w:r>
        <w:rPr>
          <w:rFonts w:ascii="宋体" w:hAnsi="宋体" w:eastAsia="宋体" w:cs="楷体_GB2312"/>
        </w:rPr>
        <w:t xml:space="preserve">  </w:t>
      </w:r>
      <w:r>
        <w:rPr>
          <w:rFonts w:hint="eastAsia" w:ascii="宋体" w:hAnsi="宋体" w:eastAsia="宋体" w:cs="楷体_GB2312"/>
        </w:rPr>
        <w:t>30</w:t>
      </w:r>
      <w:r>
        <w:rPr>
          <w:rFonts w:ascii="宋体" w:hAnsi="宋体" w:eastAsia="宋体" w:cs="楷体_GB2312"/>
        </w:rPr>
        <w:t xml:space="preserve"> </w:t>
      </w:r>
      <w:r>
        <w:rPr>
          <w:rFonts w:hint="eastAsia" w:ascii="宋体" w:hAnsi="宋体" w:eastAsia="宋体" w:cs="楷体_GB2312"/>
        </w:rPr>
        <w:t>日</w:t>
      </w:r>
      <w:r>
        <w:rPr>
          <w:rFonts w:ascii="宋体" w:hAnsi="宋体" w:eastAsia="宋体" w:cs="楷体_GB2312"/>
        </w:rPr>
        <w:t xml:space="preserve">                                </w:t>
      </w:r>
      <w:r>
        <w:rPr>
          <w:rFonts w:hint="eastAsia" w:ascii="宋体" w:hAnsi="宋体" w:eastAsia="宋体" w:cs="楷体_GB2312"/>
        </w:rPr>
        <w:t>单位：万元</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23"/>
        <w:gridCol w:w="1407"/>
        <w:gridCol w:w="1187"/>
        <w:gridCol w:w="226"/>
        <w:gridCol w:w="946"/>
        <w:gridCol w:w="329"/>
        <w:gridCol w:w="630"/>
        <w:gridCol w:w="954"/>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28"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部门（单位）名称</w:t>
            </w:r>
          </w:p>
        </w:tc>
        <w:tc>
          <w:tcPr>
            <w:tcW w:w="7520" w:type="dxa"/>
            <w:gridSpan w:val="9"/>
            <w:tcMar>
              <w:left w:w="57" w:type="dxa"/>
              <w:right w:w="57" w:type="dxa"/>
            </w:tcMar>
            <w:vAlign w:val="center"/>
          </w:tcPr>
          <w:p>
            <w:pPr>
              <w:widowControl/>
              <w:snapToGrid w:val="0"/>
              <w:jc w:val="left"/>
              <w:rPr>
                <w:rFonts w:ascii="宋体" w:hAnsi="宋体" w:eastAsia="宋体" w:cs="Times New Roman"/>
                <w:kern w:val="0"/>
              </w:rPr>
            </w:pPr>
            <w:r>
              <w:rPr>
                <w:rFonts w:ascii="宋体" w:hAnsi="宋体" w:eastAsia="宋体" w:cs="Times New Roman"/>
                <w:kern w:val="0"/>
              </w:rPr>
              <w:t>武汉市蔡甸区人民代表大会常务委员会办公室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28"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填报人</w:t>
            </w:r>
          </w:p>
        </w:tc>
        <w:tc>
          <w:tcPr>
            <w:tcW w:w="2230"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冯菱</w:t>
            </w:r>
          </w:p>
        </w:tc>
        <w:tc>
          <w:tcPr>
            <w:tcW w:w="1187"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联系电话</w:t>
            </w:r>
          </w:p>
        </w:tc>
        <w:tc>
          <w:tcPr>
            <w:tcW w:w="4103" w:type="dxa"/>
            <w:gridSpan w:val="6"/>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84942239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restart"/>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部门总体</w:t>
            </w:r>
          </w:p>
          <w:p>
            <w:pPr>
              <w:widowControl/>
              <w:snapToGrid w:val="0"/>
              <w:jc w:val="center"/>
              <w:rPr>
                <w:rFonts w:ascii="宋体" w:hAnsi="宋体" w:eastAsia="宋体" w:cs="Times New Roman"/>
                <w:kern w:val="0"/>
              </w:rPr>
            </w:pPr>
            <w:r>
              <w:rPr>
                <w:rFonts w:hint="eastAsia" w:ascii="宋体" w:hAnsi="宋体" w:eastAsia="宋体" w:cs="仿宋_GB2312"/>
                <w:kern w:val="0"/>
              </w:rPr>
              <w:t>收支情况</w:t>
            </w:r>
          </w:p>
        </w:tc>
        <w:tc>
          <w:tcPr>
            <w:tcW w:w="3417" w:type="dxa"/>
            <w:gridSpan w:val="3"/>
            <w:vMerge w:val="restart"/>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总体收支情况</w:t>
            </w:r>
          </w:p>
        </w:tc>
        <w:tc>
          <w:tcPr>
            <w:tcW w:w="1172" w:type="dxa"/>
            <w:gridSpan w:val="2"/>
            <w:vMerge w:val="restart"/>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当年金额</w:t>
            </w:r>
          </w:p>
        </w:tc>
        <w:tc>
          <w:tcPr>
            <w:tcW w:w="959" w:type="dxa"/>
            <w:gridSpan w:val="2"/>
            <w:vMerge w:val="restart"/>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占比</w:t>
            </w:r>
          </w:p>
        </w:tc>
        <w:tc>
          <w:tcPr>
            <w:tcW w:w="1972"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pPr>
              <w:widowControl/>
              <w:snapToGrid w:val="0"/>
              <w:jc w:val="center"/>
              <w:rPr>
                <w:rFonts w:ascii="宋体" w:hAnsi="宋体" w:eastAsia="宋体" w:cs="Times New Roman"/>
                <w:kern w:val="0"/>
              </w:rPr>
            </w:pPr>
          </w:p>
        </w:tc>
        <w:tc>
          <w:tcPr>
            <w:tcW w:w="3417" w:type="dxa"/>
            <w:gridSpan w:val="3"/>
            <w:vMerge w:val="continue"/>
            <w:tcMar>
              <w:left w:w="57" w:type="dxa"/>
              <w:right w:w="57" w:type="dxa"/>
            </w:tcMar>
            <w:vAlign w:val="center"/>
          </w:tcPr>
          <w:p>
            <w:pPr>
              <w:widowControl/>
              <w:snapToGrid w:val="0"/>
              <w:jc w:val="center"/>
              <w:rPr>
                <w:rFonts w:ascii="宋体" w:hAnsi="宋体" w:eastAsia="宋体" w:cs="Times New Roman"/>
                <w:kern w:val="0"/>
              </w:rPr>
            </w:pPr>
          </w:p>
        </w:tc>
        <w:tc>
          <w:tcPr>
            <w:tcW w:w="1172" w:type="dxa"/>
            <w:gridSpan w:val="2"/>
            <w:vMerge w:val="continue"/>
            <w:tcMar>
              <w:left w:w="57" w:type="dxa"/>
              <w:right w:w="57" w:type="dxa"/>
            </w:tcMar>
            <w:vAlign w:val="center"/>
          </w:tcPr>
          <w:p>
            <w:pPr>
              <w:widowControl/>
              <w:snapToGrid w:val="0"/>
              <w:jc w:val="center"/>
              <w:rPr>
                <w:rFonts w:ascii="宋体" w:hAnsi="宋体" w:eastAsia="宋体" w:cs="Times New Roman"/>
                <w:kern w:val="0"/>
              </w:rPr>
            </w:pPr>
          </w:p>
        </w:tc>
        <w:tc>
          <w:tcPr>
            <w:tcW w:w="959" w:type="dxa"/>
            <w:gridSpan w:val="2"/>
            <w:vMerge w:val="continue"/>
            <w:tcMar>
              <w:left w:w="57" w:type="dxa"/>
              <w:right w:w="57" w:type="dxa"/>
            </w:tcMar>
            <w:vAlign w:val="center"/>
          </w:tcPr>
          <w:p>
            <w:pPr>
              <w:widowControl/>
              <w:snapToGrid w:val="0"/>
              <w:jc w:val="center"/>
              <w:rPr>
                <w:rFonts w:ascii="宋体" w:hAnsi="宋体" w:eastAsia="宋体" w:cs="Times New Roman"/>
                <w:kern w:val="0"/>
              </w:rPr>
            </w:pPr>
          </w:p>
        </w:tc>
        <w:tc>
          <w:tcPr>
            <w:tcW w:w="954" w:type="dxa"/>
            <w:tcMar>
              <w:left w:w="57" w:type="dxa"/>
              <w:right w:w="57" w:type="dxa"/>
            </w:tcMar>
            <w:vAlign w:val="center"/>
          </w:tcPr>
          <w:p>
            <w:pPr>
              <w:widowControl/>
              <w:snapToGrid w:val="0"/>
              <w:jc w:val="right"/>
              <w:rPr>
                <w:rFonts w:ascii="宋体" w:hAnsi="宋体" w:eastAsia="宋体" w:cs="Times New Roman"/>
                <w:kern w:val="0"/>
                <w:u w:val="single"/>
              </w:rPr>
            </w:pPr>
            <w:r>
              <w:rPr>
                <w:rFonts w:hint="eastAsia" w:ascii="宋体" w:hAnsi="宋体" w:eastAsia="宋体" w:cs="仿宋_GB2312"/>
                <w:kern w:val="0"/>
              </w:rPr>
              <w:t>2022年</w:t>
            </w:r>
          </w:p>
        </w:tc>
        <w:tc>
          <w:tcPr>
            <w:tcW w:w="1018" w:type="dxa"/>
            <w:tcMar>
              <w:left w:w="57" w:type="dxa"/>
              <w:right w:w="57" w:type="dxa"/>
            </w:tcMar>
            <w:vAlign w:val="center"/>
          </w:tcPr>
          <w:p>
            <w:pPr>
              <w:widowControl/>
              <w:snapToGrid w:val="0"/>
              <w:jc w:val="right"/>
              <w:rPr>
                <w:rFonts w:ascii="宋体" w:hAnsi="宋体" w:eastAsia="宋体" w:cs="Times New Roman"/>
                <w:kern w:val="0"/>
                <w:u w:val="single"/>
              </w:rPr>
            </w:pPr>
            <w:r>
              <w:rPr>
                <w:rFonts w:hint="eastAsia" w:ascii="宋体" w:hAnsi="宋体" w:eastAsia="宋体" w:cs="仿宋_GB2312"/>
                <w:kern w:val="0"/>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pPr>
              <w:widowControl/>
              <w:snapToGrid w:val="0"/>
              <w:jc w:val="center"/>
              <w:rPr>
                <w:rFonts w:ascii="宋体" w:hAnsi="宋体" w:eastAsia="宋体" w:cs="Times New Roman"/>
                <w:kern w:val="0"/>
              </w:rPr>
            </w:pPr>
          </w:p>
        </w:tc>
        <w:tc>
          <w:tcPr>
            <w:tcW w:w="823" w:type="dxa"/>
            <w:vMerge w:val="restart"/>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收入</w:t>
            </w:r>
          </w:p>
          <w:p>
            <w:pPr>
              <w:widowControl/>
              <w:snapToGrid w:val="0"/>
              <w:jc w:val="center"/>
              <w:rPr>
                <w:rFonts w:ascii="宋体" w:hAnsi="宋体" w:eastAsia="宋体" w:cs="Times New Roman"/>
                <w:kern w:val="0"/>
              </w:rPr>
            </w:pPr>
            <w:r>
              <w:rPr>
                <w:rFonts w:hint="eastAsia" w:ascii="宋体" w:hAnsi="宋体" w:eastAsia="宋体" w:cs="仿宋_GB2312"/>
                <w:kern w:val="0"/>
              </w:rPr>
              <w:t>构成</w:t>
            </w:r>
          </w:p>
        </w:tc>
        <w:tc>
          <w:tcPr>
            <w:tcW w:w="2594"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财政拨款</w:t>
            </w:r>
          </w:p>
        </w:tc>
        <w:tc>
          <w:tcPr>
            <w:tcW w:w="1172"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1673.52</w:t>
            </w:r>
          </w:p>
        </w:tc>
        <w:tc>
          <w:tcPr>
            <w:tcW w:w="959"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100%</w:t>
            </w:r>
          </w:p>
        </w:tc>
        <w:tc>
          <w:tcPr>
            <w:tcW w:w="954"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1512.57</w:t>
            </w:r>
          </w:p>
        </w:tc>
        <w:tc>
          <w:tcPr>
            <w:tcW w:w="1018"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1422.74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pPr>
              <w:widowControl/>
              <w:snapToGrid w:val="0"/>
              <w:jc w:val="center"/>
              <w:rPr>
                <w:rFonts w:ascii="宋体" w:hAnsi="宋体" w:eastAsia="宋体" w:cs="Times New Roman"/>
                <w:kern w:val="0"/>
              </w:rPr>
            </w:pPr>
          </w:p>
        </w:tc>
        <w:tc>
          <w:tcPr>
            <w:tcW w:w="823" w:type="dxa"/>
            <w:vMerge w:val="continue"/>
            <w:tcMar>
              <w:left w:w="57" w:type="dxa"/>
              <w:right w:w="57" w:type="dxa"/>
            </w:tcMar>
            <w:vAlign w:val="center"/>
          </w:tcPr>
          <w:p>
            <w:pPr>
              <w:widowControl/>
              <w:snapToGrid w:val="0"/>
              <w:jc w:val="center"/>
              <w:rPr>
                <w:rFonts w:ascii="宋体" w:hAnsi="宋体" w:eastAsia="宋体" w:cs="Times New Roman"/>
                <w:kern w:val="0"/>
              </w:rPr>
            </w:pPr>
          </w:p>
        </w:tc>
        <w:tc>
          <w:tcPr>
            <w:tcW w:w="2594"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其他资金</w:t>
            </w:r>
          </w:p>
        </w:tc>
        <w:tc>
          <w:tcPr>
            <w:tcW w:w="1172"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0.00</w:t>
            </w:r>
          </w:p>
        </w:tc>
        <w:tc>
          <w:tcPr>
            <w:tcW w:w="959"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0.00</w:t>
            </w:r>
          </w:p>
        </w:tc>
        <w:tc>
          <w:tcPr>
            <w:tcW w:w="954"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0</w:t>
            </w:r>
          </w:p>
        </w:tc>
        <w:tc>
          <w:tcPr>
            <w:tcW w:w="1018"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pPr>
              <w:widowControl/>
              <w:snapToGrid w:val="0"/>
              <w:jc w:val="center"/>
              <w:rPr>
                <w:rFonts w:ascii="宋体" w:hAnsi="宋体" w:eastAsia="宋体" w:cs="Times New Roman"/>
                <w:kern w:val="0"/>
              </w:rPr>
            </w:pPr>
          </w:p>
        </w:tc>
        <w:tc>
          <w:tcPr>
            <w:tcW w:w="823" w:type="dxa"/>
            <w:vMerge w:val="continue"/>
            <w:tcMar>
              <w:left w:w="57" w:type="dxa"/>
              <w:right w:w="57" w:type="dxa"/>
            </w:tcMar>
            <w:vAlign w:val="center"/>
          </w:tcPr>
          <w:p>
            <w:pPr>
              <w:widowControl/>
              <w:snapToGrid w:val="0"/>
              <w:jc w:val="center"/>
              <w:rPr>
                <w:rFonts w:ascii="宋体" w:hAnsi="宋体" w:eastAsia="宋体" w:cs="Times New Roman"/>
                <w:kern w:val="0"/>
              </w:rPr>
            </w:pPr>
          </w:p>
        </w:tc>
        <w:tc>
          <w:tcPr>
            <w:tcW w:w="2594"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合计</w:t>
            </w:r>
          </w:p>
        </w:tc>
        <w:tc>
          <w:tcPr>
            <w:tcW w:w="1172"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1673.52</w:t>
            </w:r>
          </w:p>
        </w:tc>
        <w:tc>
          <w:tcPr>
            <w:tcW w:w="959" w:type="dxa"/>
            <w:gridSpan w:val="2"/>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100%</w:t>
            </w:r>
          </w:p>
        </w:tc>
        <w:tc>
          <w:tcPr>
            <w:tcW w:w="954"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1512.57</w:t>
            </w:r>
          </w:p>
        </w:tc>
        <w:tc>
          <w:tcPr>
            <w:tcW w:w="1018"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1422.74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pPr>
              <w:widowControl/>
              <w:snapToGrid w:val="0"/>
              <w:jc w:val="center"/>
              <w:rPr>
                <w:rFonts w:ascii="宋体" w:hAnsi="宋体" w:eastAsia="宋体" w:cs="Times New Roman"/>
                <w:kern w:val="0"/>
              </w:rPr>
            </w:pPr>
          </w:p>
        </w:tc>
        <w:tc>
          <w:tcPr>
            <w:tcW w:w="823" w:type="dxa"/>
            <w:vMerge w:val="restart"/>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支出</w:t>
            </w:r>
          </w:p>
          <w:p>
            <w:pPr>
              <w:widowControl/>
              <w:snapToGrid w:val="0"/>
              <w:jc w:val="center"/>
              <w:rPr>
                <w:rFonts w:ascii="宋体" w:hAnsi="宋体" w:eastAsia="宋体" w:cs="Times New Roman"/>
                <w:kern w:val="0"/>
              </w:rPr>
            </w:pPr>
            <w:r>
              <w:rPr>
                <w:rFonts w:hint="eastAsia" w:ascii="宋体" w:hAnsi="宋体" w:eastAsia="宋体" w:cs="仿宋_GB2312"/>
                <w:kern w:val="0"/>
              </w:rPr>
              <w:t>构成</w:t>
            </w:r>
          </w:p>
        </w:tc>
        <w:tc>
          <w:tcPr>
            <w:tcW w:w="2594"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基本支出</w:t>
            </w:r>
          </w:p>
        </w:tc>
        <w:tc>
          <w:tcPr>
            <w:tcW w:w="1172"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1419.52</w:t>
            </w:r>
          </w:p>
        </w:tc>
        <w:tc>
          <w:tcPr>
            <w:tcW w:w="959"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84.82%</w:t>
            </w:r>
          </w:p>
        </w:tc>
        <w:tc>
          <w:tcPr>
            <w:tcW w:w="954"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1226.8</w:t>
            </w:r>
          </w:p>
        </w:tc>
        <w:tc>
          <w:tcPr>
            <w:tcW w:w="1018"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1101.97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pPr>
              <w:widowControl/>
              <w:snapToGrid w:val="0"/>
              <w:jc w:val="center"/>
              <w:rPr>
                <w:rFonts w:ascii="宋体" w:hAnsi="宋体" w:eastAsia="宋体" w:cs="Times New Roman"/>
                <w:kern w:val="0"/>
              </w:rPr>
            </w:pPr>
          </w:p>
        </w:tc>
        <w:tc>
          <w:tcPr>
            <w:tcW w:w="823" w:type="dxa"/>
            <w:vMerge w:val="continue"/>
            <w:tcMar>
              <w:left w:w="57" w:type="dxa"/>
              <w:right w:w="57" w:type="dxa"/>
            </w:tcMar>
            <w:vAlign w:val="center"/>
          </w:tcPr>
          <w:p>
            <w:pPr>
              <w:widowControl/>
              <w:snapToGrid w:val="0"/>
              <w:jc w:val="center"/>
              <w:rPr>
                <w:rFonts w:ascii="宋体" w:hAnsi="宋体" w:eastAsia="宋体" w:cs="Times New Roman"/>
                <w:kern w:val="0"/>
              </w:rPr>
            </w:pPr>
          </w:p>
        </w:tc>
        <w:tc>
          <w:tcPr>
            <w:tcW w:w="2594"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项目支出</w:t>
            </w:r>
          </w:p>
        </w:tc>
        <w:tc>
          <w:tcPr>
            <w:tcW w:w="1172"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254.00</w:t>
            </w:r>
          </w:p>
        </w:tc>
        <w:tc>
          <w:tcPr>
            <w:tcW w:w="959"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15.18%</w:t>
            </w:r>
          </w:p>
        </w:tc>
        <w:tc>
          <w:tcPr>
            <w:tcW w:w="954"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285.77</w:t>
            </w:r>
          </w:p>
        </w:tc>
        <w:tc>
          <w:tcPr>
            <w:tcW w:w="1018"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320.77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pPr>
              <w:widowControl/>
              <w:snapToGrid w:val="0"/>
              <w:jc w:val="center"/>
              <w:rPr>
                <w:rFonts w:ascii="宋体" w:hAnsi="宋体" w:eastAsia="宋体" w:cs="Times New Roman"/>
                <w:kern w:val="0"/>
              </w:rPr>
            </w:pPr>
          </w:p>
        </w:tc>
        <w:tc>
          <w:tcPr>
            <w:tcW w:w="823" w:type="dxa"/>
            <w:vMerge w:val="continue"/>
            <w:tcMar>
              <w:left w:w="57" w:type="dxa"/>
              <w:right w:w="57" w:type="dxa"/>
            </w:tcMar>
            <w:vAlign w:val="center"/>
          </w:tcPr>
          <w:p>
            <w:pPr>
              <w:widowControl/>
              <w:snapToGrid w:val="0"/>
              <w:jc w:val="center"/>
              <w:rPr>
                <w:rFonts w:ascii="宋体" w:hAnsi="宋体" w:eastAsia="宋体" w:cs="Times New Roman"/>
                <w:kern w:val="0"/>
              </w:rPr>
            </w:pPr>
          </w:p>
        </w:tc>
        <w:tc>
          <w:tcPr>
            <w:tcW w:w="2594"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合计</w:t>
            </w:r>
          </w:p>
        </w:tc>
        <w:tc>
          <w:tcPr>
            <w:tcW w:w="1172"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1673.52</w:t>
            </w:r>
          </w:p>
        </w:tc>
        <w:tc>
          <w:tcPr>
            <w:tcW w:w="959" w:type="dxa"/>
            <w:gridSpan w:val="2"/>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100%</w:t>
            </w:r>
          </w:p>
        </w:tc>
        <w:tc>
          <w:tcPr>
            <w:tcW w:w="954"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1512.57</w:t>
            </w:r>
          </w:p>
        </w:tc>
        <w:tc>
          <w:tcPr>
            <w:tcW w:w="1018"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1422.74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1428"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部门职能概述</w:t>
            </w:r>
          </w:p>
        </w:tc>
        <w:tc>
          <w:tcPr>
            <w:tcW w:w="7520" w:type="dxa"/>
            <w:gridSpan w:val="9"/>
            <w:tcMar>
              <w:left w:w="57" w:type="dxa"/>
              <w:right w:w="57" w:type="dxa"/>
            </w:tcMar>
            <w:vAlign w:val="center"/>
          </w:tcPr>
          <w:p>
            <w:pPr>
              <w:widowControl/>
              <w:snapToGrid w:val="0"/>
              <w:rPr>
                <w:rFonts w:ascii="宋体" w:hAnsi="宋体" w:eastAsia="宋体" w:cs="仿宋_GB2312"/>
                <w:kern w:val="0"/>
              </w:rPr>
            </w:pPr>
            <w:r>
              <w:rPr>
                <w:rFonts w:hint="eastAsia" w:ascii="宋体" w:hAnsi="宋体" w:eastAsia="宋体" w:cs="仿宋_GB2312"/>
                <w:kern w:val="0"/>
              </w:rPr>
              <w:t>蔡甸区人大内部机构设一个办公室，7个专工委和工作委员会。办公室内设秘书科、信访调研科、代表联络科、机关事务科、老干科、人事任免科。下设二级单位人大机关离退休干部服务中心和区人大代表网络平台综合服务中心。工作委员会即代表工作委员会、财经工作委员会、法制工作委员会、教科文卫工作委员会、城环工作委员会、农村工作委员会、社会建设工作委员会。人大的主要职能是选举、代表监督、重大事项决定权。</w:t>
            </w:r>
          </w:p>
          <w:p>
            <w:pPr>
              <w:widowControl/>
              <w:snapToGrid w:val="0"/>
              <w:rPr>
                <w:rFonts w:ascii="宋体" w:hAnsi="宋体" w:eastAsia="宋体" w:cs="仿宋_GB2312"/>
                <w:kern w:val="0"/>
              </w:rPr>
            </w:pPr>
            <w:r>
              <w:rPr>
                <w:rFonts w:hint="eastAsia" w:ascii="宋体" w:hAnsi="宋体" w:eastAsia="宋体" w:cs="仿宋_GB2312"/>
                <w:kern w:val="0"/>
              </w:rPr>
              <w:t>1、坚持民主集中制是人民代表大会制度的组织和活动原则，人大及其常委会行使各项职权必须充分发扬民主，广泛听取意见，把开展监督活动、作出相关决议建立在倾听群众呼声、反映群众意愿、凝聚群众智慧的基础之上。；</w:t>
            </w:r>
          </w:p>
          <w:p>
            <w:pPr>
              <w:widowControl/>
              <w:snapToGrid w:val="0"/>
              <w:rPr>
                <w:rFonts w:ascii="宋体" w:hAnsi="宋体" w:eastAsia="宋体" w:cs="仿宋_GB2312"/>
                <w:kern w:val="0"/>
              </w:rPr>
            </w:pPr>
            <w:r>
              <w:rPr>
                <w:rFonts w:hint="eastAsia" w:ascii="宋体" w:hAnsi="宋体" w:eastAsia="宋体" w:cs="仿宋_GB2312"/>
                <w:kern w:val="0"/>
              </w:rPr>
              <w:t>2、发挥代表主体作用，创新工作载体、强化服务意识、提升保障水平，努力让代表工作活起来、严起来、实起来，为新时代人大工作注入了生机与活力；</w:t>
            </w:r>
          </w:p>
          <w:p>
            <w:pPr>
              <w:widowControl/>
              <w:snapToGrid w:val="0"/>
              <w:rPr>
                <w:rFonts w:ascii="宋体" w:hAnsi="宋体" w:eastAsia="宋体" w:cs="Times New Roman"/>
                <w:kern w:val="0"/>
              </w:rPr>
            </w:pPr>
            <w:r>
              <w:rPr>
                <w:rFonts w:hint="eastAsia" w:ascii="宋体" w:hAnsi="宋体" w:eastAsia="宋体" w:cs="仿宋_GB2312"/>
                <w:kern w:val="0"/>
              </w:rPr>
              <w:t>3、坚持党管干部与人大依法任免相统一原则，认真学习贯彻《党政领导干部选拔任用工作条例》，严格依照《湖北省各级人民代表大会常务委员会人事任免工作条例》，严把提请任免干部的材料送审关、任职资格关和任免程序关，认真落实干部任前宪法知识考试、任前供职报告、颁发任命书、宪法宣誓等制度，增强了被任命人员的法律意识、责任意识、民主意识和公仆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428"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年度工作任务</w:t>
            </w:r>
          </w:p>
        </w:tc>
        <w:tc>
          <w:tcPr>
            <w:tcW w:w="7520" w:type="dxa"/>
            <w:gridSpan w:val="9"/>
            <w:tcMar>
              <w:left w:w="57" w:type="dxa"/>
              <w:right w:w="57" w:type="dxa"/>
            </w:tcMar>
            <w:vAlign w:val="center"/>
          </w:tcPr>
          <w:p>
            <w:pPr>
              <w:widowControl/>
              <w:snapToGrid w:val="0"/>
              <w:rPr>
                <w:rFonts w:ascii="宋体" w:hAnsi="宋体" w:eastAsia="宋体" w:cs="仿宋_GB2312"/>
                <w:kern w:val="0"/>
              </w:rPr>
            </w:pPr>
            <w:r>
              <w:rPr>
                <w:rFonts w:hint="eastAsia" w:ascii="宋体" w:hAnsi="宋体" w:eastAsia="宋体" w:cs="仿宋_GB2312"/>
                <w:kern w:val="0"/>
              </w:rPr>
              <w:t>1、在本行政区域内，保证宪法、法律、行政法规和上级人大及其常委会决议的遵守和执行；</w:t>
            </w:r>
          </w:p>
          <w:p>
            <w:pPr>
              <w:widowControl/>
              <w:snapToGrid w:val="0"/>
              <w:rPr>
                <w:rFonts w:ascii="宋体" w:hAnsi="宋体" w:eastAsia="宋体" w:cs="仿宋_GB2312"/>
                <w:kern w:val="0"/>
              </w:rPr>
            </w:pPr>
            <w:r>
              <w:rPr>
                <w:rFonts w:hint="eastAsia" w:ascii="宋体" w:hAnsi="宋体" w:eastAsia="宋体" w:cs="仿宋_GB2312"/>
                <w:kern w:val="0"/>
              </w:rPr>
              <w:t>2、领导或者主持本级人民代表大会代表的选举；</w:t>
            </w:r>
          </w:p>
          <w:p>
            <w:pPr>
              <w:widowControl/>
              <w:snapToGrid w:val="0"/>
              <w:rPr>
                <w:rFonts w:ascii="宋体" w:hAnsi="宋体" w:eastAsia="宋体" w:cs="仿宋_GB2312"/>
                <w:kern w:val="0"/>
              </w:rPr>
            </w:pPr>
            <w:r>
              <w:rPr>
                <w:rFonts w:hint="eastAsia" w:ascii="宋体" w:hAnsi="宋体" w:eastAsia="宋体" w:cs="仿宋_GB2312"/>
                <w:kern w:val="0"/>
              </w:rPr>
              <w:t>3、召集本级人民代表大会会议；</w:t>
            </w:r>
          </w:p>
          <w:p>
            <w:pPr>
              <w:widowControl/>
              <w:snapToGrid w:val="0"/>
              <w:rPr>
                <w:rFonts w:ascii="宋体" w:hAnsi="宋体" w:eastAsia="宋体" w:cs="仿宋_GB2312"/>
                <w:kern w:val="0"/>
              </w:rPr>
            </w:pPr>
            <w:r>
              <w:rPr>
                <w:rFonts w:hint="eastAsia" w:ascii="宋体" w:hAnsi="宋体" w:eastAsia="宋体" w:cs="仿宋_GB2312"/>
                <w:kern w:val="0"/>
              </w:rPr>
              <w:t>4、讨论决定本行政区域内的政治、经济、教育、科学、文化、卫生、环境和资源保护、民政、民族等工作的重大事项；</w:t>
            </w:r>
          </w:p>
          <w:p>
            <w:pPr>
              <w:widowControl/>
              <w:snapToGrid w:val="0"/>
              <w:rPr>
                <w:rFonts w:ascii="宋体" w:hAnsi="宋体" w:eastAsia="宋体" w:cs="Times New Roman"/>
                <w:kern w:val="0"/>
              </w:rPr>
            </w:pPr>
            <w:r>
              <w:rPr>
                <w:rFonts w:hint="eastAsia" w:ascii="宋体" w:hAnsi="宋体" w:eastAsia="宋体" w:cs="仿宋_GB2312"/>
                <w:kern w:val="0"/>
              </w:rPr>
              <w:t>5、根据本级人民政府建议，决定对本行政区域内的国民经济和社会发展计划、预算的部分变更；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28" w:type="dxa"/>
            <w:vMerge w:val="restart"/>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项目支出情况</w:t>
            </w:r>
          </w:p>
        </w:tc>
        <w:tc>
          <w:tcPr>
            <w:tcW w:w="2230"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项目名称</w:t>
            </w:r>
          </w:p>
        </w:tc>
        <w:tc>
          <w:tcPr>
            <w:tcW w:w="1413"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项目总预算</w:t>
            </w:r>
          </w:p>
        </w:tc>
        <w:tc>
          <w:tcPr>
            <w:tcW w:w="1275"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项目本年度预算</w:t>
            </w:r>
          </w:p>
        </w:tc>
        <w:tc>
          <w:tcPr>
            <w:tcW w:w="2602" w:type="dxa"/>
            <w:gridSpan w:val="3"/>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rPr>
              <w:t>项目主要支出方向和用途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　人大代表会议经费</w:t>
            </w:r>
          </w:p>
        </w:tc>
        <w:tc>
          <w:tcPr>
            <w:tcW w:w="1413"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80.00　</w:t>
            </w:r>
          </w:p>
        </w:tc>
        <w:tc>
          <w:tcPr>
            <w:tcW w:w="1275"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80.00</w:t>
            </w:r>
          </w:p>
        </w:tc>
        <w:tc>
          <w:tcPr>
            <w:tcW w:w="2602" w:type="dxa"/>
            <w:gridSpan w:val="3"/>
            <w:tcMar>
              <w:left w:w="57" w:type="dxa"/>
              <w:right w:w="57" w:type="dxa"/>
            </w:tcMar>
            <w:vAlign w:val="center"/>
          </w:tcPr>
          <w:p>
            <w:pPr>
              <w:widowControl/>
              <w:snapToGrid w:val="0"/>
              <w:jc w:val="left"/>
              <w:rPr>
                <w:rFonts w:ascii="宋体" w:hAnsi="宋体" w:eastAsia="宋体" w:cs="Times New Roman"/>
                <w:kern w:val="0"/>
              </w:rPr>
            </w:pPr>
            <w:r>
              <w:rPr>
                <w:rFonts w:hint="eastAsia" w:ascii="宋体" w:hAnsi="宋体" w:eastAsia="宋体" w:cs="仿宋_GB2312"/>
                <w:kern w:val="0"/>
              </w:rPr>
              <w:t>区人大代表开展会议经费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人大会议费</w:t>
            </w:r>
          </w:p>
        </w:tc>
        <w:tc>
          <w:tcPr>
            <w:tcW w:w="1413"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11.00　</w:t>
            </w:r>
          </w:p>
        </w:tc>
        <w:tc>
          <w:tcPr>
            <w:tcW w:w="1275" w:type="dxa"/>
            <w:gridSpan w:val="2"/>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11.00</w:t>
            </w:r>
          </w:p>
        </w:tc>
        <w:tc>
          <w:tcPr>
            <w:tcW w:w="2602" w:type="dxa"/>
            <w:gridSpan w:val="3"/>
            <w:tcMar>
              <w:left w:w="57" w:type="dxa"/>
              <w:right w:w="57" w:type="dxa"/>
            </w:tcMar>
            <w:vAlign w:val="center"/>
          </w:tcPr>
          <w:p>
            <w:pPr>
              <w:widowControl/>
              <w:snapToGrid w:val="0"/>
              <w:jc w:val="left"/>
              <w:rPr>
                <w:rFonts w:ascii="宋体" w:hAnsi="宋体" w:eastAsia="宋体" w:cs="Times New Roman"/>
                <w:kern w:val="0"/>
              </w:rPr>
            </w:pPr>
            <w:r>
              <w:rPr>
                <w:rFonts w:hint="eastAsia" w:ascii="宋体" w:hAnsi="宋体" w:eastAsia="宋体" w:cs="仿宋_GB2312"/>
                <w:kern w:val="0"/>
              </w:rPr>
              <w:t>人大常委会、人大常委会主任会经费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人大代表开展监督、视察、会议等活动经费</w:t>
            </w:r>
          </w:p>
        </w:tc>
        <w:tc>
          <w:tcPr>
            <w:tcW w:w="1413" w:type="dxa"/>
            <w:gridSpan w:val="2"/>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90.00</w:t>
            </w:r>
          </w:p>
        </w:tc>
        <w:tc>
          <w:tcPr>
            <w:tcW w:w="1275" w:type="dxa"/>
            <w:gridSpan w:val="2"/>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90.00</w:t>
            </w:r>
          </w:p>
        </w:tc>
        <w:tc>
          <w:tcPr>
            <w:tcW w:w="2602" w:type="dxa"/>
            <w:gridSpan w:val="3"/>
            <w:tcMar>
              <w:left w:w="57" w:type="dxa"/>
              <w:right w:w="57" w:type="dxa"/>
            </w:tcMar>
            <w:vAlign w:val="center"/>
          </w:tcPr>
          <w:p>
            <w:pPr>
              <w:widowControl/>
              <w:snapToGrid w:val="0"/>
              <w:jc w:val="left"/>
              <w:rPr>
                <w:rFonts w:ascii="宋体" w:hAnsi="宋体" w:eastAsia="宋体" w:cs="仿宋_GB2312"/>
                <w:kern w:val="0"/>
              </w:rPr>
            </w:pPr>
            <w:r>
              <w:rPr>
                <w:rFonts w:hint="eastAsia" w:ascii="宋体" w:hAnsi="宋体" w:eastAsia="宋体" w:cs="仿宋_GB2312"/>
                <w:kern w:val="0"/>
              </w:rPr>
              <w:t>人大代表开展监督、视察、会议等活动经费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购买社会服务支出</w:t>
            </w:r>
          </w:p>
        </w:tc>
        <w:tc>
          <w:tcPr>
            <w:tcW w:w="1413" w:type="dxa"/>
            <w:gridSpan w:val="2"/>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73.00</w:t>
            </w:r>
          </w:p>
        </w:tc>
        <w:tc>
          <w:tcPr>
            <w:tcW w:w="1275" w:type="dxa"/>
            <w:gridSpan w:val="2"/>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73.00</w:t>
            </w:r>
          </w:p>
        </w:tc>
        <w:tc>
          <w:tcPr>
            <w:tcW w:w="2602" w:type="dxa"/>
            <w:gridSpan w:val="3"/>
            <w:tcMar>
              <w:left w:w="57" w:type="dxa"/>
              <w:right w:w="57" w:type="dxa"/>
            </w:tcMar>
            <w:vAlign w:val="center"/>
          </w:tcPr>
          <w:p>
            <w:pPr>
              <w:widowControl/>
              <w:snapToGrid w:val="0"/>
              <w:jc w:val="left"/>
              <w:rPr>
                <w:rFonts w:ascii="宋体" w:hAnsi="宋体" w:eastAsia="宋体" w:cs="仿宋_GB2312"/>
                <w:kern w:val="0"/>
              </w:rPr>
            </w:pPr>
            <w:r>
              <w:rPr>
                <w:rFonts w:hint="eastAsia" w:ascii="宋体" w:hAnsi="宋体" w:eastAsia="宋体" w:cs="仿宋_GB2312"/>
                <w:kern w:val="0"/>
              </w:rPr>
              <w:t>人大保洁、安保及聘请人员经费、预算监督平台运行维护费用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948" w:type="dxa"/>
            <w:gridSpan w:val="10"/>
            <w:tcMar>
              <w:left w:w="57" w:type="dxa"/>
              <w:right w:w="57" w:type="dxa"/>
            </w:tcMar>
            <w:vAlign w:val="center"/>
          </w:tcPr>
          <w:p>
            <w:pPr>
              <w:ind w:firstLine="422" w:firstLineChars="200"/>
              <w:outlineLvl w:val="0"/>
              <w:rPr>
                <w:rFonts w:ascii="宋体" w:hAnsi="宋体" w:eastAsia="宋体" w:cs="Times New Roman"/>
                <w:b/>
                <w:bCs/>
                <w:kern w:val="0"/>
              </w:rPr>
            </w:pPr>
            <w:r>
              <w:rPr>
                <w:rFonts w:hint="eastAsia" w:ascii="宋体" w:hAnsi="宋体" w:eastAsia="宋体" w:cs="仿宋_GB2312"/>
                <w:b/>
                <w:bCs/>
                <w:kern w:val="0"/>
              </w:rPr>
              <w:t>年度目标：</w:t>
            </w:r>
            <w:r>
              <w:rPr>
                <w:rFonts w:hint="eastAsia" w:ascii="宋体" w:hAnsi="宋体" w:eastAsia="宋体" w:cs="仿宋_GB2312"/>
                <w:kern w:val="0"/>
              </w:rPr>
              <w:t>为常委会工作监督做好服务工作，听取和 审议“一府一委两院”专项工作报告以及计划、预算决算</w:t>
            </w:r>
            <w:r>
              <w:rPr>
                <w:rFonts w:hint="eastAsia" w:ascii="宋体" w:hAnsi="宋体" w:eastAsia="宋体" w:cs="Times New Roman"/>
                <w:kern w:val="0"/>
              </w:rPr>
              <w:t>、 审计工作报告，围绕关系人民群众切身利益和社会普遍关注的问题开展工作监督。围绕区委重大决策部署、区政府重点工作、重要工作任务，深入开展专题调，形成专题研究报告、理论研究文章6篇以上，听取相关工作报告，依法作出相应决议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年度绩效指标</w:t>
            </w:r>
          </w:p>
        </w:tc>
        <w:tc>
          <w:tcPr>
            <w:tcW w:w="823" w:type="dxa"/>
            <w:vMerge w:val="restart"/>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一级</w:t>
            </w:r>
          </w:p>
          <w:p>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vMerge w:val="restart"/>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二级指标</w:t>
            </w:r>
          </w:p>
        </w:tc>
        <w:tc>
          <w:tcPr>
            <w:tcW w:w="1187" w:type="dxa"/>
            <w:vMerge w:val="restart"/>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三级指标</w:t>
            </w:r>
          </w:p>
        </w:tc>
        <w:tc>
          <w:tcPr>
            <w:tcW w:w="3085" w:type="dxa"/>
            <w:gridSpan w:val="5"/>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指标值</w:t>
            </w:r>
          </w:p>
        </w:tc>
        <w:tc>
          <w:tcPr>
            <w:tcW w:w="1018" w:type="dxa"/>
            <w:vMerge w:val="restart"/>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1407"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1187"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2131" w:type="dxa"/>
            <w:gridSpan w:val="4"/>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近两年指标值</w:t>
            </w:r>
          </w:p>
        </w:tc>
        <w:tc>
          <w:tcPr>
            <w:tcW w:w="954" w:type="dxa"/>
            <w:vMerge w:val="restart"/>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预期当年实现值</w:t>
            </w:r>
          </w:p>
        </w:tc>
        <w:tc>
          <w:tcPr>
            <w:tcW w:w="1018" w:type="dxa"/>
            <w:vMerge w:val="continue"/>
            <w:tcMar>
              <w:left w:w="57" w:type="dxa"/>
              <w:right w:w="57" w:type="dxa"/>
            </w:tcMar>
            <w:vAlign w:val="center"/>
          </w:tcPr>
          <w:p>
            <w:pPr>
              <w:widowControl/>
              <w:snapToGrid w:val="0"/>
              <w:jc w:val="left"/>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1407"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1187"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1172" w:type="dxa"/>
            <w:gridSpan w:val="2"/>
            <w:tcMar>
              <w:left w:w="57" w:type="dxa"/>
              <w:right w:w="57" w:type="dxa"/>
            </w:tcMar>
            <w:vAlign w:val="center"/>
          </w:tcPr>
          <w:p>
            <w:pPr>
              <w:widowControl/>
              <w:snapToGrid w:val="0"/>
              <w:jc w:val="center"/>
              <w:rPr>
                <w:rFonts w:ascii="宋体" w:hAnsi="宋体" w:eastAsia="宋体" w:cs="Times New Roman"/>
                <w:kern w:val="0"/>
                <w:u w:val="single"/>
              </w:rPr>
            </w:pPr>
            <w:r>
              <w:rPr>
                <w:rFonts w:hint="eastAsia" w:ascii="宋体" w:hAnsi="宋体" w:eastAsia="宋体" w:cs="仿宋_GB2312"/>
                <w:kern w:val="0"/>
                <w:u w:val="single"/>
              </w:rPr>
              <w:t>前</w:t>
            </w:r>
            <w:r>
              <w:rPr>
                <w:rFonts w:hint="eastAsia" w:ascii="宋体" w:hAnsi="宋体" w:eastAsia="宋体" w:cs="仿宋_GB2312"/>
                <w:kern w:val="0"/>
              </w:rPr>
              <w:t>年</w:t>
            </w:r>
          </w:p>
        </w:tc>
        <w:tc>
          <w:tcPr>
            <w:tcW w:w="959" w:type="dxa"/>
            <w:gridSpan w:val="2"/>
            <w:tcMar>
              <w:left w:w="57" w:type="dxa"/>
              <w:right w:w="57" w:type="dxa"/>
            </w:tcMar>
            <w:vAlign w:val="center"/>
          </w:tcPr>
          <w:p>
            <w:pPr>
              <w:widowControl/>
              <w:snapToGrid w:val="0"/>
              <w:jc w:val="center"/>
              <w:rPr>
                <w:rFonts w:ascii="宋体" w:hAnsi="宋体" w:eastAsia="宋体" w:cs="Times New Roman"/>
                <w:kern w:val="0"/>
                <w:u w:val="single"/>
              </w:rPr>
            </w:pPr>
            <w:r>
              <w:rPr>
                <w:rFonts w:hint="eastAsia" w:ascii="宋体" w:hAnsi="宋体" w:eastAsia="宋体" w:cs="仿宋_GB2312"/>
                <w:kern w:val="0"/>
                <w:u w:val="single"/>
              </w:rPr>
              <w:t>上</w:t>
            </w:r>
            <w:r>
              <w:rPr>
                <w:rFonts w:hint="eastAsia" w:ascii="宋体" w:hAnsi="宋体" w:eastAsia="宋体" w:cs="仿宋_GB2312"/>
                <w:kern w:val="0"/>
              </w:rPr>
              <w:t>年</w:t>
            </w:r>
          </w:p>
        </w:tc>
        <w:tc>
          <w:tcPr>
            <w:tcW w:w="954"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1018" w:type="dxa"/>
            <w:vMerge w:val="continue"/>
            <w:tcMar>
              <w:left w:w="57" w:type="dxa"/>
              <w:right w:w="57" w:type="dxa"/>
            </w:tcMar>
            <w:vAlign w:val="center"/>
          </w:tcPr>
          <w:p>
            <w:pPr>
              <w:widowControl/>
              <w:snapToGrid w:val="0"/>
              <w:jc w:val="left"/>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823" w:type="dxa"/>
            <w:vMerge w:val="restart"/>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产出</w:t>
            </w:r>
          </w:p>
          <w:p>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数量指标</w:t>
            </w:r>
          </w:p>
        </w:tc>
        <w:tc>
          <w:tcPr>
            <w:tcW w:w="1187" w:type="dxa"/>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每年度召开人大常委会</w:t>
            </w:r>
            <w:r>
              <w:rPr>
                <w:rFonts w:hint="eastAsia" w:ascii="宋体" w:hAnsi="宋体" w:eastAsia="宋体" w:cs="仿宋_GB2312"/>
                <w:kern w:val="0"/>
                <w:lang w:eastAsia="zh-CN"/>
              </w:rPr>
              <w:t>会</w:t>
            </w:r>
            <w:r>
              <w:rPr>
                <w:rFonts w:hint="eastAsia" w:ascii="宋体" w:hAnsi="宋体" w:eastAsia="宋体" w:cs="仿宋_GB2312"/>
                <w:kern w:val="0"/>
              </w:rPr>
              <w:t>议　</w:t>
            </w:r>
          </w:p>
        </w:tc>
        <w:tc>
          <w:tcPr>
            <w:tcW w:w="1172" w:type="dxa"/>
            <w:gridSpan w:val="2"/>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＝5次　</w:t>
            </w:r>
          </w:p>
        </w:tc>
        <w:tc>
          <w:tcPr>
            <w:tcW w:w="959" w:type="dxa"/>
            <w:gridSpan w:val="2"/>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＝5次　</w:t>
            </w:r>
          </w:p>
        </w:tc>
        <w:tc>
          <w:tcPr>
            <w:tcW w:w="954" w:type="dxa"/>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　＝5次　</w:t>
            </w:r>
          </w:p>
        </w:tc>
        <w:tc>
          <w:tcPr>
            <w:tcW w:w="1018" w:type="dxa"/>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计划数据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1407" w:type="dxa"/>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数量指标</w:t>
            </w:r>
          </w:p>
        </w:tc>
        <w:tc>
          <w:tcPr>
            <w:tcW w:w="1187" w:type="dxa"/>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每年度听取和审议专项工作报告　</w:t>
            </w:r>
          </w:p>
        </w:tc>
        <w:tc>
          <w:tcPr>
            <w:tcW w:w="1172" w:type="dxa"/>
            <w:gridSpan w:val="2"/>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＝4个　</w:t>
            </w:r>
          </w:p>
        </w:tc>
        <w:tc>
          <w:tcPr>
            <w:tcW w:w="959" w:type="dxa"/>
            <w:gridSpan w:val="2"/>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＝4个　</w:t>
            </w:r>
          </w:p>
        </w:tc>
        <w:tc>
          <w:tcPr>
            <w:tcW w:w="954" w:type="dxa"/>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＝4个　</w:t>
            </w:r>
          </w:p>
        </w:tc>
        <w:tc>
          <w:tcPr>
            <w:tcW w:w="1018" w:type="dxa"/>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计划数据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1407" w:type="dxa"/>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数量指标</w:t>
            </w:r>
          </w:p>
        </w:tc>
        <w:tc>
          <w:tcPr>
            <w:tcW w:w="1187" w:type="dxa"/>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每年度形成专题研究报告、</w:t>
            </w:r>
            <w:r>
              <w:rPr>
                <w:rFonts w:hint="eastAsia" w:ascii="宋体" w:hAnsi="宋体" w:eastAsia="宋体" w:cs="仿宋_GB2312"/>
                <w:kern w:val="0"/>
              </w:rPr>
              <w:t>理论研究文章　</w:t>
            </w:r>
          </w:p>
        </w:tc>
        <w:tc>
          <w:tcPr>
            <w:tcW w:w="1172" w:type="dxa"/>
            <w:gridSpan w:val="2"/>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　</w:t>
            </w:r>
            <w:r>
              <w:rPr>
                <w:rFonts w:ascii="宋体" w:hAnsi="宋体" w:eastAsia="宋体" w:cs="仿宋_GB2312"/>
                <w:kern w:val="0"/>
              </w:rPr>
              <w:t>≥6篇</w:t>
            </w:r>
          </w:p>
        </w:tc>
        <w:tc>
          <w:tcPr>
            <w:tcW w:w="959" w:type="dxa"/>
            <w:gridSpan w:val="2"/>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　</w:t>
            </w:r>
            <w:r>
              <w:rPr>
                <w:rFonts w:ascii="宋体" w:hAnsi="宋体" w:eastAsia="宋体" w:cs="仿宋_GB2312"/>
                <w:kern w:val="0"/>
              </w:rPr>
              <w:t>≥6篇</w:t>
            </w:r>
          </w:p>
        </w:tc>
        <w:tc>
          <w:tcPr>
            <w:tcW w:w="954" w:type="dxa"/>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≥6篇</w:t>
            </w:r>
            <w:r>
              <w:rPr>
                <w:rFonts w:hint="eastAsia" w:ascii="宋体" w:hAnsi="宋体" w:eastAsia="宋体" w:cs="仿宋_GB2312"/>
                <w:kern w:val="0"/>
              </w:rPr>
              <w:t>　</w:t>
            </w:r>
          </w:p>
        </w:tc>
        <w:tc>
          <w:tcPr>
            <w:tcW w:w="1018" w:type="dxa"/>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计划数据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1407" w:type="dxa"/>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数量指标</w:t>
            </w:r>
          </w:p>
        </w:tc>
        <w:tc>
          <w:tcPr>
            <w:tcW w:w="1187" w:type="dxa"/>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每年度作出相应决议决定</w:t>
            </w:r>
          </w:p>
        </w:tc>
        <w:tc>
          <w:tcPr>
            <w:tcW w:w="1172" w:type="dxa"/>
            <w:gridSpan w:val="2"/>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≥2项</w:t>
            </w:r>
          </w:p>
        </w:tc>
        <w:tc>
          <w:tcPr>
            <w:tcW w:w="959" w:type="dxa"/>
            <w:gridSpan w:val="2"/>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≥2项</w:t>
            </w:r>
          </w:p>
        </w:tc>
        <w:tc>
          <w:tcPr>
            <w:tcW w:w="954" w:type="dxa"/>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≥2项</w:t>
            </w:r>
          </w:p>
        </w:tc>
        <w:tc>
          <w:tcPr>
            <w:tcW w:w="1018" w:type="dxa"/>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计划数据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1407" w:type="dxa"/>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质量指标</w:t>
            </w:r>
          </w:p>
        </w:tc>
        <w:tc>
          <w:tcPr>
            <w:tcW w:w="1187" w:type="dxa"/>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开展专题调研覆盖率</w:t>
            </w:r>
          </w:p>
        </w:tc>
        <w:tc>
          <w:tcPr>
            <w:tcW w:w="1172" w:type="dxa"/>
            <w:gridSpan w:val="2"/>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＝100%</w:t>
            </w:r>
          </w:p>
        </w:tc>
        <w:tc>
          <w:tcPr>
            <w:tcW w:w="959" w:type="dxa"/>
            <w:gridSpan w:val="2"/>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＝100%</w:t>
            </w:r>
          </w:p>
        </w:tc>
        <w:tc>
          <w:tcPr>
            <w:tcW w:w="954" w:type="dxa"/>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＝100%</w:t>
            </w:r>
          </w:p>
        </w:tc>
        <w:tc>
          <w:tcPr>
            <w:tcW w:w="1018" w:type="dxa"/>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计划数据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1407" w:type="dxa"/>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质量指标</w:t>
            </w:r>
          </w:p>
        </w:tc>
        <w:tc>
          <w:tcPr>
            <w:tcW w:w="1187" w:type="dxa"/>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促进“一府两院”依法行政、公正司</w:t>
            </w:r>
            <w:r>
              <w:rPr>
                <w:rFonts w:hint="eastAsia" w:ascii="宋体" w:hAnsi="宋体" w:eastAsia="宋体" w:cs="仿宋_GB2312"/>
                <w:kern w:val="0"/>
              </w:rPr>
              <w:t>法，提高监督实效</w:t>
            </w:r>
          </w:p>
        </w:tc>
        <w:tc>
          <w:tcPr>
            <w:tcW w:w="1172" w:type="dxa"/>
            <w:gridSpan w:val="2"/>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促进提高</w:t>
            </w:r>
          </w:p>
        </w:tc>
        <w:tc>
          <w:tcPr>
            <w:tcW w:w="959" w:type="dxa"/>
            <w:gridSpan w:val="2"/>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促进提高</w:t>
            </w:r>
          </w:p>
        </w:tc>
        <w:tc>
          <w:tcPr>
            <w:tcW w:w="954" w:type="dxa"/>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促进提高</w:t>
            </w:r>
          </w:p>
        </w:tc>
        <w:tc>
          <w:tcPr>
            <w:tcW w:w="1018" w:type="dxa"/>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计划数据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823" w:type="dxa"/>
            <w:vMerge w:val="restart"/>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效益</w:t>
            </w:r>
          </w:p>
          <w:p>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社会效益指标</w:t>
            </w:r>
          </w:p>
        </w:tc>
        <w:tc>
          <w:tcPr>
            <w:tcW w:w="1187" w:type="dxa"/>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助力解决社会发展难题</w:t>
            </w:r>
            <w:r>
              <w:rPr>
                <w:rFonts w:hint="eastAsia" w:ascii="宋体" w:hAnsi="宋体" w:eastAsia="宋体" w:cs="仿宋_GB2312"/>
                <w:kern w:val="0"/>
              </w:rPr>
              <w:t>　</w:t>
            </w:r>
          </w:p>
        </w:tc>
        <w:tc>
          <w:tcPr>
            <w:tcW w:w="1172" w:type="dxa"/>
            <w:gridSpan w:val="2"/>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助力解决</w:t>
            </w:r>
            <w:r>
              <w:rPr>
                <w:rFonts w:hint="eastAsia" w:ascii="宋体" w:hAnsi="宋体" w:eastAsia="宋体" w:cs="仿宋_GB2312"/>
                <w:kern w:val="0"/>
              </w:rPr>
              <w:t>　</w:t>
            </w:r>
          </w:p>
        </w:tc>
        <w:tc>
          <w:tcPr>
            <w:tcW w:w="959" w:type="dxa"/>
            <w:gridSpan w:val="2"/>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助力解决</w:t>
            </w:r>
            <w:r>
              <w:rPr>
                <w:rFonts w:hint="eastAsia" w:ascii="宋体" w:hAnsi="宋体" w:eastAsia="宋体" w:cs="仿宋_GB2312"/>
                <w:kern w:val="0"/>
              </w:rPr>
              <w:t>　</w:t>
            </w:r>
          </w:p>
        </w:tc>
        <w:tc>
          <w:tcPr>
            <w:tcW w:w="954" w:type="dxa"/>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助力解决</w:t>
            </w:r>
            <w:r>
              <w:rPr>
                <w:rFonts w:hint="eastAsia" w:ascii="宋体" w:hAnsi="宋体" w:eastAsia="宋体" w:cs="仿宋_GB2312"/>
                <w:kern w:val="0"/>
              </w:rPr>
              <w:t>　</w:t>
            </w:r>
          </w:p>
        </w:tc>
        <w:tc>
          <w:tcPr>
            <w:tcW w:w="1018" w:type="dxa"/>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计划数据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tcMar>
              <w:left w:w="57" w:type="dxa"/>
              <w:right w:w="57" w:type="dxa"/>
            </w:tcMar>
            <w:vAlign w:val="center"/>
          </w:tcPr>
          <w:p>
            <w:pPr>
              <w:widowControl/>
              <w:snapToGrid w:val="0"/>
              <w:jc w:val="center"/>
              <w:rPr>
                <w:rFonts w:ascii="宋体" w:hAnsi="宋体" w:eastAsia="宋体" w:cs="仿宋_GB2312"/>
                <w:kern w:val="0"/>
              </w:rPr>
            </w:pPr>
          </w:p>
        </w:tc>
        <w:tc>
          <w:tcPr>
            <w:tcW w:w="1407" w:type="dxa"/>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时效指标</w:t>
            </w:r>
          </w:p>
        </w:tc>
        <w:tc>
          <w:tcPr>
            <w:tcW w:w="1187" w:type="dxa"/>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规范性文件备案及时率</w:t>
            </w:r>
          </w:p>
        </w:tc>
        <w:tc>
          <w:tcPr>
            <w:tcW w:w="1172" w:type="dxa"/>
            <w:gridSpan w:val="2"/>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＝100%</w:t>
            </w:r>
          </w:p>
        </w:tc>
        <w:tc>
          <w:tcPr>
            <w:tcW w:w="959" w:type="dxa"/>
            <w:gridSpan w:val="2"/>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＝100%</w:t>
            </w:r>
          </w:p>
        </w:tc>
        <w:tc>
          <w:tcPr>
            <w:tcW w:w="954" w:type="dxa"/>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＝100%</w:t>
            </w:r>
          </w:p>
        </w:tc>
        <w:tc>
          <w:tcPr>
            <w:tcW w:w="1018" w:type="dxa"/>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计划数据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8" w:type="dxa"/>
            <w:vMerge w:val="continue"/>
            <w:tcMar>
              <w:left w:w="57" w:type="dxa"/>
              <w:right w:w="57" w:type="dxa"/>
            </w:tcMar>
            <w:vAlign w:val="center"/>
          </w:tcPr>
          <w:p>
            <w:pPr>
              <w:widowControl/>
              <w:snapToGrid w:val="0"/>
              <w:jc w:val="left"/>
              <w:rPr>
                <w:rFonts w:ascii="宋体" w:hAnsi="宋体" w:eastAsia="宋体" w:cs="Times New Roman"/>
                <w:kern w:val="0"/>
              </w:rPr>
            </w:pPr>
          </w:p>
        </w:tc>
        <w:tc>
          <w:tcPr>
            <w:tcW w:w="823" w:type="dxa"/>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满意度指标</w:t>
            </w:r>
          </w:p>
        </w:tc>
        <w:tc>
          <w:tcPr>
            <w:tcW w:w="1407" w:type="dxa"/>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满意度指标</w:t>
            </w:r>
          </w:p>
        </w:tc>
        <w:tc>
          <w:tcPr>
            <w:tcW w:w="1187" w:type="dxa"/>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社会公众满意度</w:t>
            </w:r>
          </w:p>
        </w:tc>
        <w:tc>
          <w:tcPr>
            <w:tcW w:w="1172" w:type="dxa"/>
            <w:gridSpan w:val="2"/>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≥80%</w:t>
            </w:r>
          </w:p>
        </w:tc>
        <w:tc>
          <w:tcPr>
            <w:tcW w:w="959" w:type="dxa"/>
            <w:gridSpan w:val="2"/>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≥80%</w:t>
            </w:r>
          </w:p>
        </w:tc>
        <w:tc>
          <w:tcPr>
            <w:tcW w:w="954" w:type="dxa"/>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≥80%</w:t>
            </w:r>
          </w:p>
        </w:tc>
        <w:tc>
          <w:tcPr>
            <w:tcW w:w="1018" w:type="dxa"/>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计划数据</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MzVkNWZjZjQ4ZWMzNzg4YjM2YTg4N2NjNzg0MGEifQ=="/>
  </w:docVars>
  <w:rsids>
    <w:rsidRoot w:val="003442F2"/>
    <w:rsid w:val="0030517B"/>
    <w:rsid w:val="003442F2"/>
    <w:rsid w:val="00371E83"/>
    <w:rsid w:val="004B239D"/>
    <w:rsid w:val="00806486"/>
    <w:rsid w:val="008A1DB0"/>
    <w:rsid w:val="00A02904"/>
    <w:rsid w:val="00BA00FA"/>
    <w:rsid w:val="00F10A73"/>
    <w:rsid w:val="00F44BE6"/>
    <w:rsid w:val="057C306C"/>
    <w:rsid w:val="0671684C"/>
    <w:rsid w:val="07730275"/>
    <w:rsid w:val="08634780"/>
    <w:rsid w:val="0A413FA4"/>
    <w:rsid w:val="0E21467E"/>
    <w:rsid w:val="0FDF5034"/>
    <w:rsid w:val="108C50A7"/>
    <w:rsid w:val="20FA15DB"/>
    <w:rsid w:val="26E46951"/>
    <w:rsid w:val="2734133D"/>
    <w:rsid w:val="2A971E63"/>
    <w:rsid w:val="2B137906"/>
    <w:rsid w:val="2B3902CD"/>
    <w:rsid w:val="2E9E1192"/>
    <w:rsid w:val="302470B2"/>
    <w:rsid w:val="33813B89"/>
    <w:rsid w:val="396311B9"/>
    <w:rsid w:val="3B36455D"/>
    <w:rsid w:val="3BE16DE9"/>
    <w:rsid w:val="49123A3F"/>
    <w:rsid w:val="4B2C4B27"/>
    <w:rsid w:val="4BDF2556"/>
    <w:rsid w:val="563D6788"/>
    <w:rsid w:val="5A286042"/>
    <w:rsid w:val="62650625"/>
    <w:rsid w:val="62AE5E99"/>
    <w:rsid w:val="672C7CD4"/>
    <w:rsid w:val="73E007D8"/>
    <w:rsid w:val="74D44C8A"/>
    <w:rsid w:val="7BC8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List"/>
    <w:basedOn w:val="1"/>
    <w:qFormat/>
    <w:uiPriority w:val="0"/>
    <w:pPr>
      <w:ind w:left="200" w:hanging="200" w:hanging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295</Words>
  <Characters>1686</Characters>
  <Lines>14</Lines>
  <Paragraphs>3</Paragraphs>
  <TotalTime>5</TotalTime>
  <ScaleCrop>false</ScaleCrop>
  <LinksUpToDate>false</LinksUpToDate>
  <CharactersWithSpaces>1978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2021-05-19T00:39:00Z</cp:lastPrinted>
  <dcterms:modified xsi:type="dcterms:W3CDTF">2024-08-20T07:30:26Z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78C5DBCF02F04734B88955C6094B52EA</vt:lpwstr>
  </property>
</Properties>
</file>