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before="0" w:beforeAutospacing="1" w:after="0" w:afterAutospacing="1" w:line="560" w:lineRule="atLeast"/>
        <w:jc w:val="both"/>
        <w:rPr>
          <w:rFonts w:hint="eastAsia" w:ascii="黑体" w:hAnsi="宋体" w:eastAsia="黑体" w:cs="Times New Roman"/>
          <w:color w:val="000000"/>
          <w:kern w:val="2"/>
          <w:sz w:val="48"/>
          <w:szCs w:val="48"/>
        </w:rPr>
      </w:pPr>
      <w:r>
        <w:rPr>
          <w:rFonts w:hint="eastAsia" w:ascii="黑体" w:hAnsi="宋体" w:eastAsia="黑体" w:cs="Times New Roman"/>
          <w:color w:val="000000"/>
          <w:kern w:val="2"/>
          <w:sz w:val="48"/>
          <w:szCs w:val="48"/>
        </w:rPr>
        <w:t xml:space="preserve"> </w:t>
      </w:r>
    </w:p>
    <w:p>
      <w:pPr>
        <w:adjustRightInd w:val="0"/>
        <w:snapToGrid w:val="0"/>
        <w:spacing w:before="0" w:beforeAutospacing="1" w:after="0" w:afterAutospacing="1" w:line="560" w:lineRule="atLeast"/>
        <w:jc w:val="center"/>
        <w:rPr>
          <w:rFonts w:hint="eastAsia" w:ascii="黑体" w:hAnsi="宋体" w:eastAsia="黑体" w:cs="Times New Roman"/>
          <w:color w:val="000000"/>
          <w:kern w:val="2"/>
          <w:sz w:val="48"/>
          <w:szCs w:val="48"/>
        </w:rPr>
      </w:pPr>
      <w:r>
        <w:rPr>
          <w:rFonts w:hint="eastAsia" w:ascii="黑体" w:hAnsi="宋体" w:eastAsia="黑体" w:cs="Times New Roman"/>
          <w:color w:val="000000"/>
          <w:kern w:val="2"/>
          <w:sz w:val="48"/>
          <w:szCs w:val="48"/>
        </w:rPr>
        <w:t xml:space="preserve"> </w:t>
      </w:r>
    </w:p>
    <w:p>
      <w:pPr>
        <w:adjustRightInd w:val="0"/>
        <w:snapToGrid w:val="0"/>
        <w:spacing w:before="0" w:beforeAutospacing="1" w:after="0" w:afterAutospacing="1" w:line="560" w:lineRule="atLeast"/>
        <w:jc w:val="center"/>
        <w:rPr>
          <w:rFonts w:hint="eastAsia" w:ascii="仿宋" w:hAnsi="仿宋" w:eastAsia="仿宋" w:cs="仿宋"/>
          <w:color w:val="000000"/>
          <w:kern w:val="2"/>
          <w:sz w:val="48"/>
          <w:szCs w:val="48"/>
        </w:rPr>
      </w:pPr>
      <w:r>
        <w:rPr>
          <w:rFonts w:hint="eastAsia" w:ascii="仿宋" w:hAnsi="仿宋" w:eastAsia="仿宋" w:cs="仿宋"/>
          <w:color w:val="000000"/>
          <w:kern w:val="2"/>
          <w:sz w:val="48"/>
          <w:szCs w:val="48"/>
        </w:rPr>
        <w:t>2023</w:t>
      </w:r>
      <w:r>
        <w:rPr>
          <w:rFonts w:hint="eastAsia" w:ascii="仿宋" w:hAnsi="仿宋" w:eastAsia="仿宋" w:cs="仿宋"/>
          <w:color w:val="000000"/>
          <w:kern w:val="2"/>
          <w:sz w:val="48"/>
          <w:szCs w:val="48"/>
          <w:lang w:eastAsia="zh-CN"/>
        </w:rPr>
        <w:t>年</w:t>
      </w:r>
      <w:r>
        <w:rPr>
          <w:rFonts w:hint="eastAsia" w:ascii="仿宋" w:hAnsi="仿宋" w:eastAsia="仿宋" w:cs="仿宋"/>
          <w:color w:val="000000"/>
          <w:kern w:val="2"/>
          <w:sz w:val="48"/>
          <w:szCs w:val="48"/>
        </w:rPr>
        <w:t>度武汉市蔡甸区医疗保障局（本级）部门决算公开</w:t>
      </w:r>
    </w:p>
    <w:p>
      <w:pPr>
        <w:spacing w:before="0" w:beforeAutospacing="1" w:after="0" w:afterAutospacing="1"/>
        <w:rPr>
          <w:rFonts w:hint="eastAsia" w:ascii="仿宋" w:hAnsi="仿宋" w:eastAsia="仿宋" w:cs="仿宋"/>
          <w:kern w:val="2"/>
          <w:sz w:val="21"/>
          <w:szCs w:val="21"/>
        </w:rPr>
      </w:pPr>
      <w:r>
        <w:rPr>
          <w:rFonts w:hint="eastAsia" w:ascii="仿宋" w:hAnsi="仿宋" w:eastAsia="仿宋" w:cs="仿宋"/>
          <w:kern w:val="2"/>
          <w:sz w:val="21"/>
          <w:szCs w:val="21"/>
        </w:rPr>
        <w:t xml:space="preserve"> </w:t>
      </w:r>
    </w:p>
    <w:p>
      <w:pPr>
        <w:spacing w:before="0" w:beforeAutospacing="1" w:after="0" w:afterAutospacing="1"/>
        <w:rPr>
          <w:rFonts w:hint="eastAsia" w:ascii="仿宋" w:hAnsi="仿宋" w:eastAsia="仿宋" w:cs="仿宋"/>
          <w:kern w:val="2"/>
          <w:sz w:val="21"/>
          <w:szCs w:val="21"/>
        </w:rPr>
      </w:pPr>
      <w:r>
        <w:rPr>
          <w:rFonts w:hint="eastAsia" w:ascii="仿宋" w:hAnsi="仿宋" w:eastAsia="仿宋" w:cs="仿宋"/>
          <w:kern w:val="2"/>
          <w:sz w:val="21"/>
          <w:szCs w:val="21"/>
        </w:rPr>
        <w:t xml:space="preserve"> </w:t>
      </w:r>
    </w:p>
    <w:p>
      <w:pPr>
        <w:spacing w:before="0" w:beforeAutospacing="1" w:after="0" w:afterAutospacing="1"/>
        <w:rPr>
          <w:rFonts w:hint="eastAsia" w:ascii="仿宋" w:hAnsi="仿宋" w:eastAsia="仿宋" w:cs="仿宋"/>
          <w:kern w:val="2"/>
          <w:sz w:val="21"/>
          <w:szCs w:val="21"/>
        </w:rPr>
      </w:pPr>
      <w:r>
        <w:rPr>
          <w:rFonts w:hint="eastAsia" w:ascii="仿宋" w:hAnsi="仿宋" w:eastAsia="仿宋" w:cs="仿宋"/>
          <w:kern w:val="2"/>
          <w:sz w:val="21"/>
          <w:szCs w:val="21"/>
        </w:rPr>
        <w:t xml:space="preserve"> </w:t>
      </w:r>
    </w:p>
    <w:p>
      <w:pPr>
        <w:spacing w:before="0" w:beforeAutospacing="1" w:after="0" w:afterAutospacing="1"/>
        <w:rPr>
          <w:rFonts w:hint="eastAsia" w:ascii="仿宋" w:hAnsi="仿宋" w:eastAsia="仿宋" w:cs="仿宋"/>
          <w:kern w:val="2"/>
          <w:sz w:val="21"/>
          <w:szCs w:val="21"/>
        </w:rPr>
      </w:pPr>
      <w:r>
        <w:rPr>
          <w:rFonts w:hint="eastAsia" w:ascii="仿宋" w:hAnsi="仿宋" w:eastAsia="仿宋" w:cs="仿宋"/>
          <w:kern w:val="2"/>
          <w:sz w:val="21"/>
          <w:szCs w:val="21"/>
        </w:rPr>
        <w:t xml:space="preserve"> </w:t>
      </w:r>
    </w:p>
    <w:p>
      <w:pPr>
        <w:spacing w:before="0" w:beforeAutospacing="1" w:after="0" w:afterAutospacing="1"/>
        <w:rPr>
          <w:rFonts w:hint="eastAsia" w:ascii="仿宋" w:hAnsi="仿宋" w:eastAsia="仿宋" w:cs="仿宋"/>
          <w:kern w:val="2"/>
          <w:sz w:val="21"/>
          <w:szCs w:val="21"/>
        </w:rPr>
      </w:pPr>
      <w:r>
        <w:rPr>
          <w:rFonts w:hint="eastAsia" w:ascii="仿宋" w:hAnsi="仿宋" w:eastAsia="仿宋" w:cs="仿宋"/>
          <w:kern w:val="2"/>
          <w:sz w:val="21"/>
          <w:szCs w:val="21"/>
        </w:rPr>
        <w:t xml:space="preserve"> </w:t>
      </w:r>
    </w:p>
    <w:p>
      <w:pPr>
        <w:spacing w:before="0" w:beforeAutospacing="1" w:after="0" w:afterAutospacing="1"/>
        <w:rPr>
          <w:rFonts w:hint="eastAsia" w:ascii="仿宋" w:hAnsi="仿宋" w:eastAsia="仿宋" w:cs="仿宋"/>
          <w:kern w:val="2"/>
          <w:sz w:val="21"/>
          <w:szCs w:val="21"/>
        </w:rPr>
      </w:pPr>
      <w:r>
        <w:rPr>
          <w:rFonts w:hint="eastAsia" w:ascii="仿宋" w:hAnsi="仿宋" w:eastAsia="仿宋" w:cs="仿宋"/>
          <w:kern w:val="2"/>
          <w:sz w:val="21"/>
          <w:szCs w:val="21"/>
        </w:rPr>
        <w:t xml:space="preserve"> </w:t>
      </w:r>
    </w:p>
    <w:p>
      <w:pPr>
        <w:spacing w:before="0" w:beforeAutospacing="1" w:after="0" w:afterAutospacing="1"/>
        <w:rPr>
          <w:rFonts w:hint="eastAsia" w:ascii="仿宋" w:hAnsi="仿宋" w:eastAsia="仿宋" w:cs="仿宋"/>
          <w:kern w:val="2"/>
          <w:sz w:val="21"/>
          <w:szCs w:val="21"/>
        </w:rPr>
      </w:pPr>
      <w:r>
        <w:rPr>
          <w:rFonts w:hint="eastAsia" w:ascii="仿宋" w:hAnsi="仿宋" w:eastAsia="仿宋" w:cs="仿宋"/>
          <w:kern w:val="2"/>
          <w:sz w:val="21"/>
          <w:szCs w:val="21"/>
        </w:rPr>
        <w:t xml:space="preserve"> </w:t>
      </w:r>
    </w:p>
    <w:p>
      <w:pPr>
        <w:spacing w:before="0" w:beforeAutospacing="1" w:after="0" w:afterAutospacing="1"/>
        <w:rPr>
          <w:rFonts w:hint="eastAsia" w:ascii="仿宋" w:hAnsi="仿宋" w:eastAsia="仿宋" w:cs="仿宋"/>
          <w:kern w:val="2"/>
          <w:sz w:val="21"/>
          <w:szCs w:val="21"/>
        </w:rPr>
      </w:pPr>
      <w:r>
        <w:rPr>
          <w:rFonts w:hint="eastAsia" w:ascii="仿宋" w:hAnsi="仿宋" w:eastAsia="仿宋" w:cs="仿宋"/>
          <w:kern w:val="2"/>
          <w:sz w:val="21"/>
          <w:szCs w:val="21"/>
        </w:rPr>
        <w:t xml:space="preserve"> </w:t>
      </w:r>
    </w:p>
    <w:p>
      <w:pPr>
        <w:spacing w:before="0" w:beforeAutospacing="1" w:after="0" w:afterAutospacing="1"/>
        <w:rPr>
          <w:rFonts w:hint="eastAsia" w:ascii="仿宋" w:hAnsi="仿宋" w:eastAsia="仿宋" w:cs="仿宋"/>
          <w:kern w:val="2"/>
          <w:sz w:val="21"/>
          <w:szCs w:val="21"/>
        </w:rPr>
      </w:pPr>
      <w:r>
        <w:rPr>
          <w:rFonts w:hint="eastAsia" w:ascii="仿宋" w:hAnsi="仿宋" w:eastAsia="仿宋" w:cs="仿宋"/>
          <w:kern w:val="2"/>
          <w:sz w:val="21"/>
          <w:szCs w:val="21"/>
        </w:rPr>
        <w:t xml:space="preserve"> </w:t>
      </w:r>
    </w:p>
    <w:p>
      <w:pPr>
        <w:spacing w:before="0" w:beforeAutospacing="1" w:after="0" w:afterAutospacing="1"/>
        <w:rPr>
          <w:rFonts w:hint="eastAsia" w:ascii="仿宋" w:hAnsi="仿宋" w:eastAsia="仿宋" w:cs="仿宋"/>
          <w:kern w:val="2"/>
          <w:sz w:val="21"/>
          <w:szCs w:val="21"/>
        </w:rPr>
      </w:pPr>
      <w:r>
        <w:rPr>
          <w:rFonts w:hint="eastAsia" w:ascii="仿宋" w:hAnsi="仿宋" w:eastAsia="仿宋" w:cs="仿宋"/>
          <w:kern w:val="2"/>
          <w:sz w:val="21"/>
          <w:szCs w:val="21"/>
        </w:rPr>
        <w:t xml:space="preserve"> </w:t>
      </w:r>
    </w:p>
    <w:p>
      <w:pPr>
        <w:spacing w:before="0" w:beforeAutospacing="1" w:after="0" w:afterAutospacing="1"/>
        <w:rPr>
          <w:rFonts w:hint="eastAsia" w:ascii="仿宋" w:hAnsi="仿宋" w:eastAsia="仿宋" w:cs="仿宋"/>
          <w:kern w:val="2"/>
          <w:sz w:val="21"/>
          <w:szCs w:val="21"/>
        </w:rPr>
      </w:pPr>
      <w:r>
        <w:rPr>
          <w:rFonts w:hint="eastAsia" w:ascii="仿宋" w:hAnsi="仿宋" w:eastAsia="仿宋" w:cs="仿宋"/>
          <w:kern w:val="2"/>
          <w:sz w:val="21"/>
          <w:szCs w:val="21"/>
        </w:rPr>
        <w:t xml:space="preserve"> </w:t>
      </w:r>
    </w:p>
    <w:p>
      <w:pPr>
        <w:spacing w:before="0" w:beforeAutospacing="1" w:after="0" w:afterAutospacing="1"/>
        <w:rPr>
          <w:rFonts w:hint="eastAsia" w:ascii="仿宋" w:hAnsi="仿宋" w:eastAsia="仿宋" w:cs="仿宋"/>
          <w:kern w:val="2"/>
          <w:sz w:val="21"/>
          <w:szCs w:val="21"/>
        </w:rPr>
      </w:pPr>
      <w:r>
        <w:rPr>
          <w:rFonts w:hint="eastAsia" w:ascii="仿宋" w:hAnsi="仿宋" w:eastAsia="仿宋" w:cs="仿宋"/>
          <w:kern w:val="2"/>
          <w:sz w:val="21"/>
          <w:szCs w:val="21"/>
        </w:rPr>
        <w:t xml:space="preserve"> </w:t>
      </w:r>
    </w:p>
    <w:p>
      <w:pPr>
        <w:adjustRightInd w:val="0"/>
        <w:snapToGrid w:val="0"/>
        <w:spacing w:before="0" w:beforeAutospacing="1" w:after="0" w:afterAutospacing="1" w:line="560" w:lineRule="atLeast"/>
        <w:jc w:val="center"/>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2024年11月</w:t>
      </w:r>
      <w:r>
        <w:rPr>
          <w:rFonts w:hint="eastAsia" w:ascii="仿宋" w:hAnsi="仿宋" w:eastAsia="仿宋" w:cs="仿宋"/>
          <w:color w:val="000000"/>
          <w:kern w:val="2"/>
          <w:sz w:val="32"/>
          <w:szCs w:val="32"/>
          <w:lang w:val="en-US" w:eastAsia="zh-CN"/>
        </w:rPr>
        <w:t>1</w:t>
      </w:r>
      <w:r>
        <w:rPr>
          <w:rFonts w:hint="eastAsia" w:ascii="仿宋" w:hAnsi="仿宋" w:eastAsia="仿宋" w:cs="仿宋"/>
          <w:color w:val="000000"/>
          <w:kern w:val="2"/>
          <w:sz w:val="32"/>
          <w:szCs w:val="32"/>
        </w:rPr>
        <w:t>5日</w:t>
      </w:r>
    </w:p>
    <w:p>
      <w:pPr>
        <w:adjustRightInd w:val="0"/>
        <w:snapToGrid w:val="0"/>
        <w:spacing w:before="0" w:beforeAutospacing="1" w:after="0" w:afterAutospacing="1" w:line="560" w:lineRule="atLeast"/>
        <w:jc w:val="center"/>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 xml:space="preserve"> </w:t>
      </w:r>
    </w:p>
    <w:p>
      <w:pPr>
        <w:adjustRightInd w:val="0"/>
        <w:snapToGrid w:val="0"/>
        <w:spacing w:before="0" w:beforeAutospacing="1" w:after="0" w:afterAutospacing="1" w:line="560" w:lineRule="atLeast"/>
        <w:jc w:val="center"/>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 xml:space="preserve"> </w:t>
      </w:r>
    </w:p>
    <w:p>
      <w:pPr>
        <w:spacing w:before="0" w:beforeAutospacing="1" w:after="0" w:afterAutospacing="1"/>
        <w:rPr>
          <w:rFonts w:hint="eastAsia" w:ascii="仿宋" w:hAnsi="仿宋" w:eastAsia="仿宋" w:cs="仿宋"/>
          <w:kern w:val="2"/>
          <w:sz w:val="21"/>
          <w:szCs w:val="21"/>
        </w:rPr>
      </w:pPr>
      <w:r>
        <w:rPr>
          <w:rFonts w:hint="eastAsia" w:ascii="仿宋" w:hAnsi="仿宋" w:eastAsia="仿宋" w:cs="仿宋"/>
          <w:kern w:val="2"/>
          <w:sz w:val="21"/>
          <w:szCs w:val="21"/>
        </w:rPr>
        <w:t xml:space="preserve"> </w:t>
      </w:r>
    </w:p>
    <w:p>
      <w:pPr>
        <w:spacing w:before="0" w:beforeAutospacing="1" w:after="0" w:afterAutospacing="1"/>
        <w:rPr>
          <w:rFonts w:hint="eastAsia" w:ascii="仿宋" w:hAnsi="仿宋" w:eastAsia="仿宋" w:cs="仿宋"/>
          <w:kern w:val="44"/>
          <w:sz w:val="44"/>
          <w:szCs w:val="44"/>
        </w:rPr>
        <w:sectPr>
          <w:pgSz w:w="11915" w:h="16851"/>
          <w:pgMar w:top="1432" w:right="1475" w:bottom="1" w:left="1787" w:header="851" w:footer="992" w:gutter="0"/>
          <w:cols w:space="0" w:num="1"/>
        </w:sectPr>
      </w:pPr>
      <w:r>
        <w:rPr>
          <w:rFonts w:hint="eastAsia" w:ascii="仿宋" w:hAnsi="仿宋" w:eastAsia="仿宋" w:cs="仿宋"/>
          <w:kern w:val="2"/>
          <w:sz w:val="21"/>
          <w:szCs w:val="21"/>
        </w:rPr>
        <w:t xml:space="preserve"> </w:t>
      </w:r>
    </w:p>
    <w:p>
      <w:pPr>
        <w:spacing w:before="0" w:beforeAutospacing="1" w:after="0" w:afterAutospacing="1"/>
        <w:jc w:val="both"/>
        <w:rPr>
          <w:rFonts w:hint="eastAsia" w:ascii="仿宋" w:hAnsi="仿宋" w:eastAsia="仿宋" w:cs="仿宋"/>
          <w:kern w:val="44"/>
          <w:sz w:val="44"/>
          <w:szCs w:val="44"/>
        </w:rPr>
      </w:pPr>
    </w:p>
    <w:p>
      <w:pPr>
        <w:spacing w:before="0" w:beforeAutospacing="1" w:after="0" w:afterAutospacing="1"/>
        <w:jc w:val="center"/>
        <w:rPr>
          <w:rFonts w:hint="eastAsia" w:ascii="仿宋" w:hAnsi="仿宋" w:eastAsia="仿宋" w:cs="仿宋"/>
          <w:b/>
          <w:kern w:val="44"/>
          <w:sz w:val="44"/>
          <w:szCs w:val="44"/>
        </w:rPr>
      </w:pPr>
      <w:r>
        <w:rPr>
          <w:rFonts w:hint="eastAsia" w:ascii="仿宋" w:hAnsi="仿宋" w:eastAsia="仿宋" w:cs="仿宋"/>
          <w:b/>
          <w:kern w:val="44"/>
          <w:sz w:val="44"/>
          <w:szCs w:val="44"/>
        </w:rPr>
        <w:t>目    录</w:t>
      </w:r>
    </w:p>
    <w:p>
      <w:pPr>
        <w:keepNext w:val="0"/>
        <w:keepLines w:val="0"/>
        <w:widowControl/>
        <w:suppressLineNumbers w:val="0"/>
        <w:autoSpaceDE w:val="0"/>
        <w:autoSpaceDN/>
        <w:adjustRightInd w:val="0"/>
        <w:snapToGrid w:val="0"/>
        <w:spacing w:before="0" w:beforeAutospacing="1" w:after="0" w:afterAutospacing="1"/>
        <w:ind w:left="0" w:firstLine="0" w:firstLineChars="0"/>
        <w:rPr>
          <w:rFonts w:hint="eastAsia" w:ascii="黑体" w:hAnsi="宋体" w:eastAsia="黑体" w:cs="黑体"/>
          <w:kern w:val="2"/>
          <w:sz w:val="32"/>
          <w:szCs w:val="32"/>
        </w:rPr>
      </w:pPr>
      <w:bookmarkStart w:id="0" w:name="OLE_LINK7"/>
      <w:bookmarkEnd w:id="0"/>
      <w:r>
        <w:rPr>
          <w:rFonts w:hint="eastAsia" w:ascii="黑体" w:hAnsi="宋体" w:eastAsia="黑体" w:cs="黑体"/>
          <w:kern w:val="2"/>
          <w:sz w:val="32"/>
          <w:szCs w:val="32"/>
        </w:rPr>
        <w:t>第一部分  武汉市蔡甸区医疗保障局（本级）概况</w:t>
      </w:r>
    </w:p>
    <w:p>
      <w:pPr>
        <w:keepNext w:val="0"/>
        <w:keepLines w:val="0"/>
        <w:widowControl/>
        <w:suppressLineNumbers w:val="0"/>
        <w:autoSpaceDE w:val="0"/>
        <w:autoSpaceDN/>
        <w:adjustRightInd w:val="0"/>
        <w:snapToGrid w:val="0"/>
        <w:spacing w:before="0" w:beforeAutospacing="1" w:after="0" w:afterAutospacing="1"/>
        <w:ind w:left="0" w:firstLine="0" w:firstLineChars="0"/>
        <w:rPr>
          <w:rFonts w:hint="eastAsia" w:ascii="仿宋" w:hAnsi="仿宋" w:eastAsia="仿宋" w:cs="仿宋"/>
          <w:color w:val="000000"/>
          <w:kern w:val="0"/>
          <w:sz w:val="32"/>
          <w:szCs w:val="32"/>
        </w:rPr>
      </w:pPr>
      <w:bookmarkStart w:id="1" w:name="OLE_LINK3"/>
      <w:bookmarkEnd w:id="1"/>
      <w:r>
        <w:rPr>
          <w:rFonts w:hint="eastAsia" w:ascii="仿宋" w:hAnsi="仿宋" w:eastAsia="仿宋" w:cs="仿宋"/>
          <w:color w:val="000000"/>
          <w:kern w:val="0"/>
          <w:sz w:val="32"/>
          <w:szCs w:val="32"/>
        </w:rPr>
        <w:t>一、部门主要职能</w:t>
      </w:r>
    </w:p>
    <w:p>
      <w:pPr>
        <w:keepNext w:val="0"/>
        <w:keepLines w:val="0"/>
        <w:widowControl/>
        <w:suppressLineNumbers w:val="0"/>
        <w:autoSpaceDE w:val="0"/>
        <w:autoSpaceDN/>
        <w:adjustRightInd w:val="0"/>
        <w:snapToGrid w:val="0"/>
        <w:spacing w:before="0" w:beforeAutospacing="1" w:after="0" w:afterAutospacing="1"/>
        <w:ind w:left="0" w:firstLine="0" w:firstLineChars="0"/>
        <w:rPr>
          <w:rFonts w:hint="eastAsia" w:ascii="仿宋" w:hAnsi="仿宋" w:eastAsia="仿宋" w:cs="仿宋"/>
          <w:color w:val="000000"/>
          <w:kern w:val="0"/>
          <w:sz w:val="32"/>
          <w:szCs w:val="32"/>
        </w:rPr>
      </w:pPr>
      <w:bookmarkStart w:id="2" w:name="OLE_LINK8"/>
      <w:bookmarkEnd w:id="2"/>
      <w:r>
        <w:rPr>
          <w:rFonts w:hint="eastAsia" w:ascii="仿宋" w:hAnsi="仿宋" w:eastAsia="仿宋" w:cs="仿宋"/>
          <w:color w:val="000000"/>
          <w:kern w:val="0"/>
          <w:sz w:val="32"/>
          <w:szCs w:val="32"/>
        </w:rPr>
        <w:t>二、部门决算单位构成</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黑体" w:hAnsi="宋体" w:eastAsia="黑体" w:cs="黑体"/>
          <w:kern w:val="2"/>
          <w:sz w:val="32"/>
          <w:szCs w:val="32"/>
        </w:rPr>
      </w:pPr>
      <w:r>
        <w:rPr>
          <w:rFonts w:hint="eastAsia" w:ascii="黑体" w:hAnsi="宋体" w:eastAsia="黑体" w:cs="黑体"/>
          <w:kern w:val="2"/>
          <w:sz w:val="32"/>
          <w:szCs w:val="32"/>
        </w:rPr>
        <w:t>第二部分  武汉市蔡甸区医疗保障局（本级）2023年度部门决算表</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bookmarkStart w:id="3" w:name="OLE_LINK4"/>
      <w:bookmarkEnd w:id="3"/>
      <w:r>
        <w:rPr>
          <w:rFonts w:hint="eastAsia" w:ascii="仿宋" w:hAnsi="仿宋" w:eastAsia="仿宋" w:cs="仿宋"/>
          <w:color w:val="000000"/>
          <w:kern w:val="0"/>
          <w:sz w:val="32"/>
          <w:szCs w:val="32"/>
        </w:rPr>
        <w:t>一、收入支出决算总表(表1)</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二、收入决算表(表2)</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三、支出决算表(表3)</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四、财政拨款收入支出决算总表(表4)</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五、一般公共预算财政拨款支出决算表(表5)</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六、一般公共预算财政拨款基本支出决算明细表(表6)</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七、政府性基金预算财政拨款收入支出决算表(表7)</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bookmarkStart w:id="4" w:name="OLE_LINK5"/>
      <w:bookmarkEnd w:id="4"/>
      <w:r>
        <w:rPr>
          <w:rFonts w:hint="eastAsia" w:ascii="仿宋" w:hAnsi="仿宋" w:eastAsia="仿宋" w:cs="仿宋"/>
          <w:color w:val="000000"/>
          <w:kern w:val="0"/>
          <w:sz w:val="32"/>
          <w:szCs w:val="32"/>
        </w:rPr>
        <w:t>八、国有资本经营预算财政拨款支出决算表（表8）</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九、财政拨款“三公”经费支出决算表(表9)</w:t>
      </w:r>
    </w:p>
    <w:p>
      <w:pPr>
        <w:keepNext w:val="0"/>
        <w:keepLines w:val="0"/>
        <w:widowControl/>
        <w:suppressLineNumbers w:val="0"/>
        <w:autoSpaceDE w:val="0"/>
        <w:autoSpaceDN/>
        <w:adjustRightInd w:val="0"/>
        <w:snapToGrid w:val="0"/>
        <w:spacing w:before="0" w:beforeAutospacing="1" w:after="0" w:afterAutospacing="1"/>
        <w:ind w:left="0" w:firstLine="0" w:firstLineChars="0"/>
        <w:rPr>
          <w:rFonts w:hint="eastAsia" w:ascii="黑体" w:hAnsi="宋体" w:eastAsia="黑体" w:cs="黑体"/>
          <w:kern w:val="2"/>
          <w:sz w:val="32"/>
          <w:szCs w:val="32"/>
        </w:rPr>
      </w:pPr>
      <w:bookmarkStart w:id="5" w:name="OLE_LINK6"/>
      <w:bookmarkEnd w:id="5"/>
      <w:r>
        <w:rPr>
          <w:rFonts w:hint="eastAsia" w:ascii="黑体" w:hAnsi="宋体" w:eastAsia="黑体" w:cs="黑体"/>
          <w:kern w:val="2"/>
          <w:sz w:val="32"/>
          <w:szCs w:val="32"/>
        </w:rPr>
        <w:t>第三部分  武汉市蔡甸区医疗保障局（本级）2023年度部门决算情况说明</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一、收入支出决算总体情况说明 </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二、收入决算情况说明</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三、支出决算情况说明</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四、财政拨款收入支出决算总体情况说明</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五、一般公共预算财政拨款支出决算情况说明</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六、一般公共预算财政拨款基本支出决算情况说明</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七、政府性基金预算财政拨款收入支出决算情况说明 </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八、国有资本经营预算财政拨款支出决算情况说明</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九、财政拨款“三公”经费支出决算情况说明</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十、机关运行经费支出说明</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十一、政府采购支出说明</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十二、国有资产占用情况说明</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十三、预算绩效情况说明</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黑体" w:hAnsi="宋体" w:eastAsia="黑体" w:cs="黑体"/>
          <w:kern w:val="2"/>
          <w:sz w:val="32"/>
          <w:szCs w:val="32"/>
        </w:rPr>
      </w:pPr>
      <w:r>
        <w:rPr>
          <w:rFonts w:hint="eastAsia" w:ascii="黑体" w:hAnsi="宋体" w:eastAsia="黑体" w:cs="黑体"/>
          <w:kern w:val="2"/>
          <w:sz w:val="32"/>
          <w:szCs w:val="32"/>
        </w:rPr>
        <w:t>第四部分  2023年重点工作完成情况</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黑体" w:hAnsi="宋体" w:eastAsia="黑体" w:cs="黑体"/>
          <w:kern w:val="2"/>
          <w:sz w:val="32"/>
          <w:szCs w:val="32"/>
        </w:rPr>
      </w:pPr>
      <w:r>
        <w:rPr>
          <w:rFonts w:hint="eastAsia" w:ascii="黑体" w:hAnsi="宋体" w:eastAsia="黑体" w:cs="黑体"/>
          <w:kern w:val="2"/>
          <w:sz w:val="32"/>
          <w:szCs w:val="32"/>
        </w:rPr>
        <w:t>第五部分  名词解释</w:t>
      </w:r>
    </w:p>
    <w:p>
      <w:pPr>
        <w:keepNext w:val="0"/>
        <w:keepLines w:val="0"/>
        <w:widowControl/>
        <w:suppressLineNumbers w:val="0"/>
        <w:autoSpaceDE w:val="0"/>
        <w:autoSpaceDN/>
        <w:adjustRightInd w:val="0"/>
        <w:snapToGrid w:val="0"/>
        <w:spacing w:before="0" w:beforeAutospacing="1" w:after="0" w:afterAutospacing="1"/>
        <w:ind w:left="0" w:firstLine="0" w:firstLineChars="0"/>
        <w:jc w:val="left"/>
        <w:rPr>
          <w:rFonts w:hint="eastAsia" w:ascii="黑体" w:hAnsi="宋体" w:eastAsia="黑体" w:cs="黑体"/>
          <w:kern w:val="2"/>
          <w:sz w:val="32"/>
          <w:szCs w:val="32"/>
        </w:rPr>
      </w:pPr>
      <w:r>
        <w:rPr>
          <w:rFonts w:hint="eastAsia" w:ascii="黑体" w:hAnsi="宋体" w:eastAsia="黑体" w:cs="黑体"/>
          <w:kern w:val="2"/>
          <w:sz w:val="32"/>
          <w:szCs w:val="32"/>
        </w:rPr>
        <w:t>第六部分  附件</w:t>
      </w:r>
    </w:p>
    <w:p>
      <w:pPr>
        <w:spacing w:before="0" w:beforeAutospacing="1" w:after="0" w:afterAutospacing="1"/>
        <w:rPr>
          <w:rFonts w:hint="eastAsia" w:ascii="仿宋" w:hAnsi="仿宋" w:eastAsia="仿宋" w:cs="仿宋"/>
          <w:kern w:val="2"/>
          <w:sz w:val="21"/>
          <w:szCs w:val="21"/>
        </w:rPr>
      </w:pPr>
      <w:r>
        <w:rPr>
          <w:rFonts w:hint="eastAsia" w:ascii="仿宋" w:hAnsi="仿宋" w:eastAsia="仿宋" w:cs="仿宋"/>
          <w:kern w:val="2"/>
          <w:sz w:val="21"/>
          <w:szCs w:val="21"/>
        </w:rPr>
        <w:t xml:space="preserve"> </w:t>
      </w:r>
    </w:p>
    <w:p>
      <w:pPr>
        <w:spacing w:before="0" w:beforeAutospacing="1" w:after="0" w:afterAutospacing="1"/>
        <w:jc w:val="center"/>
        <w:rPr>
          <w:rFonts w:hint="eastAsia" w:ascii="仿宋" w:hAnsi="仿宋" w:eastAsia="仿宋" w:cs="仿宋"/>
          <w:b/>
          <w:kern w:val="44"/>
          <w:sz w:val="44"/>
          <w:szCs w:val="44"/>
        </w:rPr>
      </w:pPr>
      <w:r>
        <w:rPr>
          <w:rFonts w:hint="eastAsia" w:ascii="仿宋" w:hAnsi="仿宋" w:eastAsia="仿宋" w:cs="仿宋"/>
          <w:b/>
          <w:kern w:val="44"/>
          <w:sz w:val="44"/>
          <w:szCs w:val="44"/>
        </w:rPr>
        <w:t xml:space="preserve"> </w:t>
      </w:r>
    </w:p>
    <w:p>
      <w:pPr>
        <w:spacing w:before="0" w:beforeAutospacing="1" w:after="0" w:afterAutospacing="1"/>
        <w:jc w:val="center"/>
        <w:rPr>
          <w:rFonts w:hint="eastAsia" w:ascii="仿宋" w:hAnsi="仿宋" w:eastAsia="仿宋" w:cs="仿宋"/>
          <w:b/>
          <w:kern w:val="44"/>
          <w:sz w:val="44"/>
          <w:szCs w:val="44"/>
        </w:rPr>
      </w:pPr>
      <w:r>
        <w:rPr>
          <w:rFonts w:hint="eastAsia" w:ascii="仿宋" w:hAnsi="仿宋" w:eastAsia="仿宋" w:cs="仿宋"/>
          <w:b/>
          <w:kern w:val="44"/>
          <w:sz w:val="44"/>
          <w:szCs w:val="44"/>
        </w:rPr>
        <w:t>第一部分  武汉市蔡甸区医疗保障局（本级）概况</w:t>
      </w:r>
    </w:p>
    <w:p>
      <w:pPr>
        <w:keepNext w:val="0"/>
        <w:keepLines w:val="0"/>
        <w:widowControl/>
        <w:suppressLineNumbers w:val="0"/>
        <w:autoSpaceDE w:val="0"/>
        <w:autoSpaceDN/>
        <w:adjustRightInd w:val="0"/>
        <w:snapToGrid w:val="0"/>
        <w:spacing w:before="0" w:beforeAutospacing="0" w:after="0" w:afterAutospacing="0" w:line="360" w:lineRule="auto"/>
        <w:ind w:left="0" w:firstLine="640" w:firstLineChars="200"/>
        <w:rPr>
          <w:rFonts w:hint="eastAsia" w:ascii="黑体" w:hAnsi="宋体" w:eastAsia="黑体" w:cs="黑体"/>
          <w:kern w:val="2"/>
          <w:sz w:val="32"/>
          <w:szCs w:val="32"/>
        </w:rPr>
      </w:pPr>
      <w:r>
        <w:rPr>
          <w:rFonts w:hint="eastAsia" w:ascii="黑体" w:hAnsi="宋体" w:eastAsia="黑体" w:cs="黑体"/>
          <w:kern w:val="2"/>
          <w:sz w:val="32"/>
          <w:szCs w:val="32"/>
        </w:rPr>
        <w:t>一、部门主要职能</w:t>
      </w:r>
    </w:p>
    <w:p>
      <w:pPr>
        <w:keepNext w:val="0"/>
        <w:keepLines w:val="0"/>
        <w:widowControl/>
        <w:suppressLineNumbers w:val="0"/>
        <w:autoSpaceDE w:val="0"/>
        <w:autoSpaceDN/>
        <w:snapToGrid w:val="0"/>
        <w:spacing w:line="360" w:lineRule="auto"/>
        <w:ind w:left="0" w:firstLine="640" w:firstLineChars="200"/>
        <w:rPr>
          <w:rFonts w:hint="eastAsia" w:ascii="仿宋" w:hAnsi="仿宋" w:eastAsia="仿宋" w:cs="仿宋"/>
          <w:kern w:val="44"/>
          <w:sz w:val="32"/>
          <w:szCs w:val="32"/>
        </w:rPr>
      </w:pPr>
      <w:bookmarkStart w:id="6" w:name="OLE_LINK9"/>
      <w:bookmarkEnd w:id="6"/>
      <w:r>
        <w:rPr>
          <w:rFonts w:hint="eastAsia" w:ascii="仿宋" w:hAnsi="仿宋" w:eastAsia="仿宋" w:cs="仿宋"/>
          <w:kern w:val="44"/>
          <w:sz w:val="32"/>
          <w:szCs w:val="32"/>
        </w:rPr>
        <w:t>(一)负责本行政区域内医疗保障工作，贯彻执行国家、省、市关于医疗保险、生育保险、长期护理险、职工大额医疗保险、居民大病保险、医疗救助等医疗保障制度的法律法规和政策规定。</w:t>
      </w:r>
    </w:p>
    <w:p>
      <w:pPr>
        <w:keepNext w:val="0"/>
        <w:keepLines w:val="0"/>
        <w:widowControl/>
        <w:suppressLineNumbers w:val="0"/>
        <w:autoSpaceDE w:val="0"/>
        <w:autoSpaceDN/>
        <w:snapToGrid w:val="0"/>
        <w:spacing w:line="360" w:lineRule="auto"/>
        <w:ind w:left="0" w:firstLine="640" w:firstLineChars="200"/>
        <w:jc w:val="left"/>
        <w:rPr>
          <w:rFonts w:hint="eastAsia" w:ascii="仿宋" w:hAnsi="仿宋" w:eastAsia="仿宋" w:cs="仿宋"/>
          <w:kern w:val="44"/>
          <w:sz w:val="32"/>
          <w:szCs w:val="32"/>
        </w:rPr>
      </w:pPr>
      <w:r>
        <w:rPr>
          <w:rFonts w:hint="eastAsia" w:ascii="仿宋" w:hAnsi="仿宋" w:eastAsia="仿宋" w:cs="仿宋"/>
          <w:kern w:val="44"/>
          <w:sz w:val="32"/>
          <w:szCs w:val="32"/>
        </w:rPr>
        <w:t>(二)负责编制本区医疗保障基金预决算草案并组织基金预算的执行。</w:t>
      </w:r>
    </w:p>
    <w:p>
      <w:pPr>
        <w:keepNext w:val="0"/>
        <w:keepLines w:val="0"/>
        <w:widowControl/>
        <w:suppressLineNumbers w:val="0"/>
        <w:autoSpaceDE w:val="0"/>
        <w:autoSpaceDN/>
        <w:snapToGrid w:val="0"/>
        <w:spacing w:line="360" w:lineRule="auto"/>
        <w:ind w:left="0" w:firstLine="640" w:firstLineChars="200"/>
        <w:jc w:val="left"/>
        <w:rPr>
          <w:rFonts w:hint="eastAsia" w:ascii="仿宋" w:hAnsi="仿宋" w:eastAsia="仿宋" w:cs="仿宋"/>
          <w:kern w:val="44"/>
          <w:sz w:val="32"/>
          <w:szCs w:val="32"/>
        </w:rPr>
      </w:pPr>
      <w:r>
        <w:rPr>
          <w:rFonts w:hint="eastAsia" w:ascii="仿宋" w:hAnsi="仿宋" w:eastAsia="仿宋" w:cs="仿宋"/>
          <w:kern w:val="44"/>
          <w:sz w:val="32"/>
          <w:szCs w:val="32"/>
        </w:rPr>
        <w:t>(三)负责本行政区域内医保支付医药服务价格信息采集上报，组织实施本行政区域内药品、医用耗材价格和医疗服务项目、医疗服务设施收费等政策。推动建立市场主导的社会医药服务价格形成机制，建立价格信息监测和信息发布制度。</w:t>
      </w:r>
    </w:p>
    <w:p>
      <w:pPr>
        <w:keepNext w:val="0"/>
        <w:keepLines w:val="0"/>
        <w:widowControl/>
        <w:suppressLineNumbers w:val="0"/>
        <w:autoSpaceDE w:val="0"/>
        <w:autoSpaceDN/>
        <w:snapToGrid w:val="0"/>
        <w:spacing w:line="360" w:lineRule="auto"/>
        <w:ind w:left="0" w:firstLine="640" w:firstLineChars="200"/>
        <w:jc w:val="left"/>
        <w:rPr>
          <w:rFonts w:hint="eastAsia" w:ascii="仿宋" w:hAnsi="仿宋" w:eastAsia="仿宋" w:cs="仿宋"/>
          <w:kern w:val="44"/>
          <w:sz w:val="32"/>
          <w:szCs w:val="32"/>
        </w:rPr>
      </w:pPr>
      <w:r>
        <w:rPr>
          <w:rFonts w:hint="eastAsia" w:ascii="仿宋" w:hAnsi="仿宋" w:eastAsia="仿宋" w:cs="仿宋"/>
          <w:kern w:val="44"/>
          <w:sz w:val="32"/>
          <w:szCs w:val="32"/>
        </w:rPr>
        <w:t>(四)负责本行政区域内参保人员经办服务管理工作。</w:t>
      </w:r>
    </w:p>
    <w:p>
      <w:pPr>
        <w:keepNext w:val="0"/>
        <w:keepLines w:val="0"/>
        <w:widowControl/>
        <w:suppressLineNumbers w:val="0"/>
        <w:autoSpaceDE w:val="0"/>
        <w:autoSpaceDN/>
        <w:snapToGrid w:val="0"/>
        <w:spacing w:line="360" w:lineRule="auto"/>
        <w:ind w:left="0" w:firstLine="640" w:firstLineChars="200"/>
        <w:jc w:val="left"/>
        <w:rPr>
          <w:rFonts w:hint="eastAsia" w:ascii="仿宋" w:hAnsi="仿宋" w:eastAsia="仿宋" w:cs="仿宋"/>
          <w:kern w:val="44"/>
          <w:sz w:val="32"/>
          <w:szCs w:val="32"/>
        </w:rPr>
      </w:pPr>
      <w:r>
        <w:rPr>
          <w:rFonts w:hint="eastAsia" w:ascii="仿宋" w:hAnsi="仿宋" w:eastAsia="仿宋" w:cs="仿宋"/>
          <w:kern w:val="44"/>
          <w:sz w:val="32"/>
          <w:szCs w:val="32"/>
        </w:rPr>
        <w:t>(五)负责本行政区</w:t>
      </w:r>
      <w:r>
        <w:rPr>
          <w:rFonts w:ascii="仿宋_GB2312" w:hAnsi="宋体" w:eastAsia="仿宋_GB2312" w:cs="仿宋_GB2312"/>
          <w:i w:val="0"/>
          <w:caps w:val="0"/>
          <w:color w:val="000000"/>
          <w:spacing w:val="0"/>
          <w:sz w:val="31"/>
          <w:szCs w:val="31"/>
        </w:rPr>
        <w:t>域</w:t>
      </w:r>
      <w:r>
        <w:rPr>
          <w:rFonts w:hint="eastAsia" w:ascii="仿宋" w:hAnsi="仿宋" w:eastAsia="仿宋" w:cs="仿宋"/>
          <w:kern w:val="44"/>
          <w:sz w:val="32"/>
          <w:szCs w:val="32"/>
        </w:rPr>
        <w:t>内相关政策宣传、咨询和各类医疗保障信访投诉举报的办理工作。</w:t>
      </w:r>
    </w:p>
    <w:p>
      <w:pPr>
        <w:keepNext w:val="0"/>
        <w:keepLines w:val="0"/>
        <w:widowControl/>
        <w:suppressLineNumbers w:val="0"/>
        <w:autoSpaceDE w:val="0"/>
        <w:autoSpaceDN/>
        <w:snapToGrid w:val="0"/>
        <w:spacing w:line="360" w:lineRule="auto"/>
        <w:ind w:left="0" w:firstLine="640" w:firstLineChars="200"/>
        <w:jc w:val="left"/>
        <w:rPr>
          <w:rFonts w:hint="eastAsia" w:ascii="仿宋" w:hAnsi="仿宋" w:eastAsia="仿宋" w:cs="仿宋"/>
          <w:kern w:val="44"/>
          <w:sz w:val="32"/>
          <w:szCs w:val="32"/>
        </w:rPr>
      </w:pPr>
      <w:r>
        <w:rPr>
          <w:rFonts w:hint="eastAsia" w:ascii="仿宋" w:hAnsi="仿宋" w:eastAsia="仿宋" w:cs="仿宋"/>
          <w:kern w:val="44"/>
          <w:sz w:val="32"/>
          <w:szCs w:val="32"/>
        </w:rPr>
        <w:t>(六)按照属地管理要求，负责监督管理本辖区医保定点医药机构的医疗服务行为和医疗费用，建立健全医疗保障信用评价体系和信息披露制度，依法查处辖区内医疗保障领城违法违规行为。</w:t>
      </w:r>
    </w:p>
    <w:p>
      <w:pPr>
        <w:keepNext w:val="0"/>
        <w:keepLines w:val="0"/>
        <w:widowControl/>
        <w:suppressLineNumbers w:val="0"/>
        <w:autoSpaceDE w:val="0"/>
        <w:autoSpaceDN/>
        <w:snapToGrid w:val="0"/>
        <w:spacing w:line="360" w:lineRule="auto"/>
        <w:ind w:left="0" w:firstLine="640" w:firstLineChars="200"/>
        <w:jc w:val="left"/>
        <w:rPr>
          <w:rFonts w:hint="eastAsia" w:ascii="仿宋" w:hAnsi="仿宋" w:eastAsia="仿宋" w:cs="仿宋"/>
          <w:kern w:val="44"/>
          <w:sz w:val="32"/>
          <w:szCs w:val="32"/>
        </w:rPr>
      </w:pPr>
      <w:r>
        <w:rPr>
          <w:rFonts w:hint="eastAsia" w:ascii="仿宋" w:hAnsi="仿宋" w:eastAsia="仿宋" w:cs="仿宋"/>
          <w:kern w:val="44"/>
          <w:sz w:val="32"/>
          <w:szCs w:val="32"/>
        </w:rPr>
        <w:t>(七)按规定承担全面从严治党、国家安全、意识形态、综治维稳、精神文明建设、安全生产、生态环境保护、保密等主体责任。</w:t>
      </w:r>
    </w:p>
    <w:p>
      <w:pPr>
        <w:keepNext w:val="0"/>
        <w:keepLines w:val="0"/>
        <w:widowControl/>
        <w:suppressLineNumbers w:val="0"/>
        <w:autoSpaceDE w:val="0"/>
        <w:autoSpaceDN/>
        <w:snapToGrid w:val="0"/>
        <w:spacing w:line="360" w:lineRule="auto"/>
        <w:ind w:left="0" w:firstLine="640" w:firstLineChars="200"/>
        <w:jc w:val="left"/>
        <w:rPr>
          <w:rFonts w:hint="eastAsia" w:ascii="仿宋" w:hAnsi="仿宋" w:eastAsia="仿宋" w:cs="仿宋"/>
          <w:kern w:val="44"/>
          <w:sz w:val="32"/>
          <w:szCs w:val="32"/>
        </w:rPr>
      </w:pPr>
      <w:r>
        <w:rPr>
          <w:rFonts w:hint="eastAsia" w:ascii="仿宋" w:hAnsi="仿宋" w:eastAsia="仿宋" w:cs="仿宋"/>
          <w:kern w:val="44"/>
          <w:sz w:val="32"/>
          <w:szCs w:val="32"/>
        </w:rPr>
        <w:t>(八)完成上级交办的其他工作任务。</w:t>
      </w:r>
    </w:p>
    <w:p>
      <w:pPr>
        <w:keepNext w:val="0"/>
        <w:keepLines w:val="0"/>
        <w:widowControl/>
        <w:suppressLineNumbers w:val="0"/>
        <w:autoSpaceDE w:val="0"/>
        <w:autoSpaceDN/>
        <w:snapToGrid w:val="0"/>
        <w:spacing w:line="360" w:lineRule="auto"/>
        <w:ind w:left="0" w:firstLine="640" w:firstLineChars="200"/>
        <w:jc w:val="left"/>
        <w:rPr>
          <w:rFonts w:hint="eastAsia" w:ascii="仿宋" w:hAnsi="仿宋" w:eastAsia="仿宋" w:cs="仿宋"/>
          <w:kern w:val="44"/>
          <w:sz w:val="32"/>
          <w:szCs w:val="32"/>
        </w:rPr>
      </w:pPr>
      <w:r>
        <w:rPr>
          <w:rFonts w:hint="eastAsia" w:ascii="仿宋" w:hAnsi="仿宋" w:eastAsia="仿宋" w:cs="仿宋"/>
          <w:kern w:val="44"/>
          <w:sz w:val="32"/>
          <w:szCs w:val="32"/>
        </w:rPr>
        <w:t>(九)职能转变。区医疗保障局执行统一的城乡居民基本医疗保险制度、大额医疗保险制度和大病保险制度，落实覆盖全民、全市统筹的多层次医疗保障体系，不断提高医疗保障水平，确保医保资金合理使用、安全可控，推进医疗、医保、医药“三医联动”改革，更好保障人民群众就医需求、减轻医药费用负担。</w:t>
      </w:r>
    </w:p>
    <w:p>
      <w:pPr>
        <w:keepNext w:val="0"/>
        <w:keepLines w:val="0"/>
        <w:widowControl/>
        <w:suppressLineNumbers w:val="0"/>
        <w:autoSpaceDE w:val="0"/>
        <w:autoSpaceDN/>
        <w:snapToGrid w:val="0"/>
        <w:spacing w:line="360" w:lineRule="auto"/>
        <w:ind w:left="0" w:firstLine="640" w:firstLineChars="200"/>
        <w:jc w:val="left"/>
        <w:rPr>
          <w:rFonts w:hint="eastAsia" w:ascii="仿宋" w:hAnsi="仿宋" w:eastAsia="仿宋" w:cs="仿宋"/>
          <w:kern w:val="44"/>
          <w:sz w:val="32"/>
          <w:szCs w:val="32"/>
        </w:rPr>
      </w:pPr>
      <w:r>
        <w:rPr>
          <w:rFonts w:hint="eastAsia" w:ascii="仿宋" w:hAnsi="仿宋" w:eastAsia="仿宋" w:cs="仿宋"/>
          <w:kern w:val="44"/>
          <w:sz w:val="32"/>
          <w:szCs w:val="32"/>
        </w:rPr>
        <w:t>(十)有关职责分工。区卫生健康局、区医疗保障局等部门在医疗、医保、医药等方面加强制度、政策衔接，建立沟通协商机制，协同推进改革，提高医疗资源使用效率和医疗保障水平。</w:t>
      </w:r>
    </w:p>
    <w:p>
      <w:pPr>
        <w:adjustRightInd w:val="0"/>
        <w:snapToGrid w:val="0"/>
        <w:spacing w:before="0" w:beforeAutospacing="1" w:after="0" w:afterAutospacing="1" w:line="580" w:lineRule="atLeast"/>
        <w:ind w:left="0" w:firstLine="640" w:firstLineChars="200"/>
        <w:rPr>
          <w:rFonts w:hint="eastAsia" w:ascii="黑体" w:hAnsi="宋体" w:eastAsia="黑体" w:cs="黑体"/>
          <w:kern w:val="2"/>
          <w:sz w:val="32"/>
          <w:szCs w:val="32"/>
        </w:rPr>
      </w:pPr>
      <w:r>
        <w:rPr>
          <w:rFonts w:hint="eastAsia" w:ascii="黑体" w:hAnsi="宋体" w:eastAsia="黑体" w:cs="黑体"/>
          <w:kern w:val="2"/>
          <w:sz w:val="32"/>
          <w:szCs w:val="32"/>
        </w:rPr>
        <w:t>二、部门决算单位构成</w:t>
      </w:r>
    </w:p>
    <w:p>
      <w:pPr>
        <w:keepNext w:val="0"/>
        <w:keepLines w:val="0"/>
        <w:widowControl/>
        <w:suppressLineNumbers w:val="0"/>
        <w:autoSpaceDE w:val="0"/>
        <w:autoSpaceDN/>
        <w:snapToGrid w:val="0"/>
        <w:spacing w:line="360" w:lineRule="auto"/>
        <w:ind w:left="0" w:firstLine="640" w:firstLineChars="200"/>
        <w:jc w:val="left"/>
        <w:rPr>
          <w:rFonts w:hint="eastAsia" w:ascii="仿宋" w:hAnsi="仿宋" w:eastAsia="仿宋" w:cs="仿宋"/>
          <w:kern w:val="44"/>
          <w:sz w:val="32"/>
          <w:szCs w:val="32"/>
        </w:rPr>
      </w:pPr>
      <w:r>
        <w:rPr>
          <w:rFonts w:hint="eastAsia" w:ascii="仿宋" w:hAnsi="仿宋" w:eastAsia="仿宋" w:cs="仿宋"/>
          <w:kern w:val="44"/>
          <w:sz w:val="32"/>
          <w:szCs w:val="32"/>
        </w:rPr>
        <w:t>从单位构成看，武汉市蔡甸区医疗保障局（本级）部门决算由纳入独立核算的单位本级决算组成。</w:t>
      </w:r>
    </w:p>
    <w:p>
      <w:pPr>
        <w:keepNext w:val="0"/>
        <w:keepLines w:val="0"/>
        <w:widowControl/>
        <w:suppressLineNumbers w:val="0"/>
        <w:autoSpaceDE w:val="0"/>
        <w:autoSpaceDN/>
        <w:snapToGrid w:val="0"/>
        <w:spacing w:line="360" w:lineRule="auto"/>
        <w:ind w:left="0" w:firstLine="640" w:firstLineChars="200"/>
        <w:jc w:val="left"/>
        <w:rPr>
          <w:rFonts w:hint="eastAsia" w:ascii="仿宋" w:hAnsi="仿宋" w:eastAsia="仿宋" w:cs="仿宋"/>
          <w:kern w:val="44"/>
          <w:sz w:val="32"/>
          <w:szCs w:val="32"/>
        </w:rPr>
      </w:pPr>
    </w:p>
    <w:p>
      <w:pPr>
        <w:keepNext w:val="0"/>
        <w:keepLines w:val="0"/>
        <w:widowControl/>
        <w:suppressLineNumbers w:val="0"/>
        <w:autoSpaceDE w:val="0"/>
        <w:autoSpaceDN/>
        <w:snapToGrid w:val="0"/>
        <w:spacing w:line="360" w:lineRule="auto"/>
        <w:ind w:left="0" w:firstLine="640" w:firstLineChars="200"/>
        <w:jc w:val="left"/>
        <w:rPr>
          <w:rFonts w:hint="eastAsia" w:ascii="仿宋" w:hAnsi="仿宋" w:eastAsia="仿宋" w:cs="仿宋"/>
          <w:kern w:val="44"/>
          <w:sz w:val="32"/>
          <w:szCs w:val="32"/>
        </w:rPr>
      </w:pPr>
    </w:p>
    <w:p>
      <w:pPr>
        <w:spacing w:before="0" w:beforeAutospacing="1" w:after="0" w:afterAutospacing="1"/>
        <w:jc w:val="center"/>
        <w:rPr>
          <w:rFonts w:hint="eastAsia" w:ascii="宋体" w:hAnsi="宋体" w:eastAsia="宋体" w:cs="宋体"/>
          <w:kern w:val="0"/>
          <w:sz w:val="24"/>
          <w:szCs w:val="24"/>
        </w:rPr>
      </w:pPr>
      <w:r>
        <w:rPr>
          <w:rFonts w:hint="eastAsia" w:ascii="宋体" w:hAnsi="宋体" w:eastAsia="宋体" w:cs="宋体"/>
          <w:b/>
          <w:kern w:val="44"/>
          <w:sz w:val="44"/>
          <w:szCs w:val="44"/>
        </w:rPr>
        <w:t>第二部分</w:t>
      </w:r>
      <w:r>
        <w:rPr>
          <w:rFonts w:hint="default" w:ascii="Times New Roman" w:hAnsi="Times New Roman" w:eastAsia="宋体" w:cs="Times New Roman"/>
          <w:b/>
          <w:kern w:val="44"/>
          <w:sz w:val="44"/>
          <w:szCs w:val="44"/>
        </w:rPr>
        <w:t xml:space="preserve">  </w:t>
      </w:r>
      <w:r>
        <w:rPr>
          <w:rFonts w:hint="eastAsia" w:ascii="宋体" w:hAnsi="宋体" w:eastAsia="宋体" w:cs="宋体"/>
          <w:b/>
          <w:kern w:val="44"/>
          <w:sz w:val="44"/>
          <w:szCs w:val="44"/>
        </w:rPr>
        <w:t>武汉市蔡甸区医疗保障局（本级）</w:t>
      </w:r>
      <w:r>
        <w:rPr>
          <w:rFonts w:hint="default" w:ascii="Times New Roman" w:hAnsi="Times New Roman" w:eastAsia="宋体" w:cs="Times New Roman"/>
          <w:b/>
          <w:kern w:val="44"/>
          <w:sz w:val="44"/>
          <w:szCs w:val="44"/>
        </w:rPr>
        <w:t>202</w:t>
      </w:r>
      <w:r>
        <w:rPr>
          <w:rFonts w:hint="eastAsia" w:ascii="Times New Roman" w:hAnsi="Times New Roman" w:eastAsia="宋体" w:cs="Times New Roman"/>
          <w:b/>
          <w:kern w:val="44"/>
          <w:sz w:val="44"/>
          <w:szCs w:val="44"/>
        </w:rPr>
        <w:t>3</w:t>
      </w:r>
      <w:r>
        <w:rPr>
          <w:rFonts w:hint="eastAsia" w:ascii="宋体" w:hAnsi="宋体" w:eastAsia="宋体" w:cs="宋体"/>
          <w:b/>
          <w:kern w:val="44"/>
          <w:sz w:val="44"/>
          <w:szCs w:val="44"/>
        </w:rPr>
        <w:t>年度部门决算表</w:t>
      </w:r>
    </w:p>
    <w:tbl>
      <w:tblPr>
        <w:tblStyle w:val="16"/>
        <w:tblW w:w="4896" w:type="pct"/>
        <w:tblInd w:w="558" w:type="dxa"/>
        <w:shd w:val="clear" w:color="auto" w:fill="auto"/>
        <w:tblLayout w:type="autofit"/>
        <w:tblCellMar>
          <w:top w:w="0" w:type="dxa"/>
          <w:left w:w="0" w:type="dxa"/>
          <w:bottom w:w="0" w:type="dxa"/>
          <w:right w:w="0" w:type="dxa"/>
        </w:tblCellMar>
      </w:tblPr>
      <w:tblGrid>
        <w:gridCol w:w="3217"/>
        <w:gridCol w:w="405"/>
        <w:gridCol w:w="694"/>
        <w:gridCol w:w="2883"/>
        <w:gridCol w:w="459"/>
        <w:gridCol w:w="1041"/>
      </w:tblGrid>
      <w:tr>
        <w:tblPrEx>
          <w:shd w:val="clear" w:color="auto" w:fill="auto"/>
          <w:tblCellMar>
            <w:top w:w="0" w:type="dxa"/>
            <w:left w:w="0" w:type="dxa"/>
            <w:bottom w:w="0" w:type="dxa"/>
            <w:right w:w="0" w:type="dxa"/>
          </w:tblCellMar>
        </w:tblPrEx>
        <w:trPr>
          <w:trHeight w:val="290" w:hRule="atLeast"/>
        </w:trPr>
        <w:tc>
          <w:tcPr>
            <w:tcW w:w="5000" w:type="pct"/>
            <w:gridSpan w:val="6"/>
            <w:tcBorders>
              <w:top w:val="nil"/>
              <w:left w:val="nil"/>
              <w:bottom w:val="nil"/>
              <w:right w:val="nil"/>
            </w:tcBorders>
            <w:shd w:val="clear" w:color="auto" w:fill="FFFFFF"/>
            <w:noWrap/>
            <w:tcMar>
              <w:top w:w="15" w:type="dxa"/>
              <w:left w:w="15" w:type="dxa"/>
              <w:right w:w="15" w:type="dxa"/>
            </w:tcMar>
            <w:vAlign w:val="center"/>
          </w:tcPr>
          <w:p>
            <w:pPr>
              <w:spacing w:before="0" w:beforeAutospacing="1" w:after="0" w:afterAutospacing="1"/>
              <w:rPr>
                <w:rFonts w:hint="eastAsia" w:ascii="黑体" w:hAnsi="宋体" w:eastAsia="黑体" w:cs="黑体"/>
                <w:i w:val="0"/>
                <w:color w:val="000000"/>
                <w:kern w:val="0"/>
                <w:sz w:val="28"/>
                <w:szCs w:val="28"/>
              </w:rPr>
            </w:pPr>
            <w:r>
              <w:rPr>
                <w:rFonts w:hint="eastAsia" w:ascii="宋体" w:hAnsi="宋体" w:eastAsia="宋体" w:cs="宋体"/>
                <w:kern w:val="0"/>
                <w:sz w:val="24"/>
                <w:szCs w:val="24"/>
              </w:rPr>
              <w:t> </w:t>
            </w:r>
            <w:r>
              <w:rPr>
                <w:rFonts w:hint="eastAsia" w:ascii="黑体" w:hAnsi="宋体" w:eastAsia="黑体" w:cs="黑体"/>
                <w:i w:val="0"/>
                <w:color w:val="000000"/>
                <w:kern w:val="0"/>
                <w:sz w:val="28"/>
                <w:szCs w:val="28"/>
              </w:rPr>
              <w:t>2023年度收入支出决算总表（表一）</w:t>
            </w:r>
          </w:p>
        </w:tc>
      </w:tr>
      <w:tr>
        <w:tblPrEx>
          <w:tblCellMar>
            <w:top w:w="0" w:type="dxa"/>
            <w:left w:w="0" w:type="dxa"/>
            <w:bottom w:w="0" w:type="dxa"/>
            <w:right w:w="0" w:type="dxa"/>
          </w:tblCellMar>
        </w:tblPrEx>
        <w:trPr>
          <w:trHeight w:val="235" w:hRule="atLeast"/>
        </w:trPr>
        <w:tc>
          <w:tcPr>
            <w:tcW w:w="1853" w:type="pct"/>
            <w:tcBorders>
              <w:top w:val="nil"/>
              <w:left w:val="nil"/>
              <w:bottom w:val="nil"/>
              <w:right w:val="nil"/>
            </w:tcBorders>
            <w:shd w:val="clear" w:color="auto" w:fill="FFFFFF"/>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21"/>
                <w:szCs w:val="21"/>
              </w:rPr>
            </w:pPr>
          </w:p>
        </w:tc>
        <w:tc>
          <w:tcPr>
            <w:tcW w:w="237" w:type="pct"/>
            <w:tcBorders>
              <w:top w:val="nil"/>
              <w:left w:val="nil"/>
              <w:bottom w:val="nil"/>
              <w:right w:val="nil"/>
            </w:tcBorders>
            <w:shd w:val="clear" w:color="auto" w:fill="FFFFFF"/>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6"/>
                <w:szCs w:val="16"/>
              </w:rPr>
            </w:pPr>
          </w:p>
        </w:tc>
        <w:tc>
          <w:tcPr>
            <w:tcW w:w="400" w:type="pct"/>
            <w:tcBorders>
              <w:top w:val="nil"/>
              <w:left w:val="nil"/>
              <w:bottom w:val="nil"/>
              <w:right w:val="nil"/>
            </w:tcBorders>
            <w:shd w:val="clear" w:color="auto" w:fill="FFFFFF"/>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6"/>
                <w:szCs w:val="16"/>
              </w:rPr>
            </w:pPr>
          </w:p>
        </w:tc>
        <w:tc>
          <w:tcPr>
            <w:tcW w:w="1660" w:type="pct"/>
            <w:tcBorders>
              <w:top w:val="nil"/>
              <w:left w:val="nil"/>
              <w:bottom w:val="nil"/>
              <w:right w:val="nil"/>
            </w:tcBorders>
            <w:shd w:val="clear" w:color="auto" w:fill="FFFFFF"/>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6"/>
                <w:szCs w:val="16"/>
              </w:rPr>
            </w:pPr>
          </w:p>
        </w:tc>
        <w:tc>
          <w:tcPr>
            <w:tcW w:w="259" w:type="pct"/>
            <w:tcBorders>
              <w:top w:val="nil"/>
              <w:left w:val="nil"/>
              <w:bottom w:val="nil"/>
              <w:right w:val="nil"/>
            </w:tcBorders>
            <w:shd w:val="clear" w:color="auto" w:fill="FFFFFF"/>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6"/>
                <w:szCs w:val="16"/>
              </w:rPr>
            </w:pPr>
          </w:p>
        </w:tc>
        <w:tc>
          <w:tcPr>
            <w:tcW w:w="585" w:type="pct"/>
            <w:tcBorders>
              <w:top w:val="nil"/>
              <w:left w:val="nil"/>
              <w:bottom w:val="nil"/>
              <w:right w:val="nil"/>
            </w:tcBorders>
            <w:shd w:val="clear" w:color="auto" w:fill="FFFFFF"/>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6"/>
                <w:szCs w:val="16"/>
              </w:rPr>
            </w:pPr>
          </w:p>
        </w:tc>
      </w:tr>
      <w:tr>
        <w:tblPrEx>
          <w:tblCellMar>
            <w:top w:w="0" w:type="dxa"/>
            <w:left w:w="0" w:type="dxa"/>
            <w:bottom w:w="0" w:type="dxa"/>
            <w:right w:w="0" w:type="dxa"/>
          </w:tblCellMar>
        </w:tblPrEx>
        <w:trPr>
          <w:trHeight w:val="235" w:hRule="atLeast"/>
        </w:trPr>
        <w:tc>
          <w:tcPr>
            <w:tcW w:w="1853" w:type="pct"/>
            <w:tcBorders>
              <w:top w:val="nil"/>
              <w:left w:val="nil"/>
              <w:bottom w:val="nil"/>
              <w:right w:val="nil"/>
            </w:tcBorders>
            <w:shd w:val="clear" w:color="auto" w:fill="FFFFFF"/>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6"/>
                <w:szCs w:val="16"/>
              </w:rPr>
            </w:pPr>
          </w:p>
        </w:tc>
        <w:tc>
          <w:tcPr>
            <w:tcW w:w="237" w:type="pct"/>
            <w:tcBorders>
              <w:top w:val="nil"/>
              <w:left w:val="nil"/>
              <w:bottom w:val="nil"/>
              <w:right w:val="nil"/>
            </w:tcBorders>
            <w:shd w:val="clear" w:color="auto" w:fill="FFFFFF"/>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6"/>
                <w:szCs w:val="16"/>
              </w:rPr>
            </w:pPr>
          </w:p>
        </w:tc>
        <w:tc>
          <w:tcPr>
            <w:tcW w:w="400" w:type="pct"/>
            <w:tcBorders>
              <w:top w:val="nil"/>
              <w:left w:val="nil"/>
              <w:bottom w:val="nil"/>
              <w:right w:val="nil"/>
            </w:tcBorders>
            <w:shd w:val="clear" w:color="auto" w:fill="FFFFFF"/>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6"/>
                <w:szCs w:val="16"/>
              </w:rPr>
            </w:pPr>
          </w:p>
        </w:tc>
        <w:tc>
          <w:tcPr>
            <w:tcW w:w="1660" w:type="pct"/>
            <w:tcBorders>
              <w:top w:val="nil"/>
              <w:left w:val="nil"/>
              <w:bottom w:val="nil"/>
              <w:right w:val="nil"/>
            </w:tcBorders>
            <w:shd w:val="clear" w:color="auto" w:fill="FFFFFF"/>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6"/>
                <w:szCs w:val="16"/>
              </w:rPr>
            </w:pPr>
          </w:p>
        </w:tc>
        <w:tc>
          <w:tcPr>
            <w:tcW w:w="843" w:type="pct"/>
            <w:gridSpan w:val="2"/>
            <w:tcBorders>
              <w:top w:val="nil"/>
              <w:left w:val="nil"/>
              <w:bottom w:val="nil"/>
              <w:right w:val="nil"/>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rPr>
              <w:t>公开01表</w:t>
            </w:r>
          </w:p>
        </w:tc>
      </w:tr>
      <w:tr>
        <w:tblPrEx>
          <w:tblCellMar>
            <w:top w:w="0" w:type="dxa"/>
            <w:left w:w="0" w:type="dxa"/>
            <w:bottom w:w="0" w:type="dxa"/>
            <w:right w:w="0" w:type="dxa"/>
          </w:tblCellMar>
        </w:tblPrEx>
        <w:trPr>
          <w:trHeight w:val="235" w:hRule="atLeast"/>
        </w:trPr>
        <w:tc>
          <w:tcPr>
            <w:tcW w:w="4154" w:type="pct"/>
            <w:gridSpan w:val="4"/>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rPr>
              <w:t>部门：武汉市蔡甸区医疗保障局（本级）</w:t>
            </w:r>
          </w:p>
        </w:tc>
        <w:tc>
          <w:tcPr>
            <w:tcW w:w="843" w:type="pct"/>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rPr>
              <w:t>金额单位：万元</w:t>
            </w:r>
          </w:p>
        </w:tc>
      </w:tr>
      <w:tr>
        <w:tblPrEx>
          <w:tblCellMar>
            <w:top w:w="0" w:type="dxa"/>
            <w:left w:w="0" w:type="dxa"/>
            <w:bottom w:w="0" w:type="dxa"/>
            <w:right w:w="0" w:type="dxa"/>
          </w:tblCellMar>
        </w:tblPrEx>
        <w:trPr>
          <w:trHeight w:val="242" w:hRule="atLeast"/>
        </w:trPr>
        <w:tc>
          <w:tcPr>
            <w:tcW w:w="2493"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both"/>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收入</w:t>
            </w:r>
          </w:p>
        </w:tc>
        <w:tc>
          <w:tcPr>
            <w:tcW w:w="2506" w:type="pct"/>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both"/>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支出</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both"/>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项目</w:t>
            </w: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行次</w:t>
            </w:r>
          </w:p>
        </w:tc>
        <w:tc>
          <w:tcPr>
            <w:tcW w:w="40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金额</w:t>
            </w: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both"/>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项目</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行次</w:t>
            </w:r>
          </w:p>
        </w:tc>
        <w:tc>
          <w:tcPr>
            <w:tcW w:w="58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金额</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both"/>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栏次</w:t>
            </w: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rPr>
                <w:rFonts w:hint="eastAsia" w:ascii="宋体" w:hAnsi="宋体" w:eastAsia="宋体" w:cs="宋体"/>
                <w:i w:val="0"/>
                <w:color w:val="000000"/>
                <w:kern w:val="0"/>
                <w:sz w:val="18"/>
                <w:szCs w:val="18"/>
              </w:rPr>
            </w:pPr>
          </w:p>
        </w:tc>
        <w:tc>
          <w:tcPr>
            <w:tcW w:w="40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w:t>
            </w: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both"/>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栏次</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rPr>
                <w:rFonts w:hint="eastAsia" w:ascii="宋体" w:hAnsi="宋体" w:eastAsia="宋体" w:cs="宋体"/>
                <w:i w:val="0"/>
                <w:color w:val="000000"/>
                <w:kern w:val="0"/>
                <w:sz w:val="18"/>
                <w:szCs w:val="18"/>
              </w:rPr>
            </w:pPr>
          </w:p>
        </w:tc>
        <w:tc>
          <w:tcPr>
            <w:tcW w:w="58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一、一般公共预算财政拨款收入</w:t>
            </w: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442.86</w:t>
            </w: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一、一般公共服务支出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32</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二、政府性基金预算财政拨款收入</w:t>
            </w: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二、外交支出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33</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三、国有资本经营预算财政拨款收入</w:t>
            </w: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三、国防支出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34</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四、上级补助收入</w:t>
            </w: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四、公共安全支出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35</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五、事业收入</w:t>
            </w: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五、教育支出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36</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六、经营收入</w:t>
            </w: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六、科学技术支出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37</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七、附属单位上缴收入</w:t>
            </w: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7</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七、文化旅游体育与传媒支出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38</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八、其他收入</w:t>
            </w: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8</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八、社会保障和就业支出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39</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22.28</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8"/>
                <w:szCs w:val="18"/>
              </w:rPr>
            </w:pP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9</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rPr>
                <w:rFonts w:hint="eastAsia" w:ascii="宋体" w:hAnsi="宋体" w:eastAsia="宋体" w:cs="宋体"/>
                <w:i w:val="0"/>
                <w:color w:val="000000"/>
                <w:kern w:val="0"/>
                <w:sz w:val="18"/>
                <w:szCs w:val="18"/>
              </w:rPr>
            </w:pP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九、卫生健康支出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40</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398.40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8"/>
                <w:szCs w:val="18"/>
              </w:rPr>
            </w:pP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rPr>
                <w:rFonts w:hint="eastAsia" w:ascii="宋体" w:hAnsi="宋体" w:eastAsia="宋体" w:cs="宋体"/>
                <w:i w:val="0"/>
                <w:color w:val="000000"/>
                <w:kern w:val="0"/>
                <w:sz w:val="18"/>
                <w:szCs w:val="18"/>
              </w:rPr>
            </w:pP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十、节能环保支出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41</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8"/>
                <w:szCs w:val="18"/>
              </w:rPr>
            </w:pP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11</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rPr>
                <w:rFonts w:hint="eastAsia" w:ascii="宋体" w:hAnsi="宋体" w:eastAsia="宋体" w:cs="宋体"/>
                <w:i w:val="0"/>
                <w:color w:val="000000"/>
                <w:kern w:val="0"/>
                <w:sz w:val="18"/>
                <w:szCs w:val="18"/>
              </w:rPr>
            </w:pP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十一、城乡社区支出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42</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8"/>
                <w:szCs w:val="18"/>
              </w:rPr>
            </w:pP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rPr>
                <w:rFonts w:hint="eastAsia" w:ascii="宋体" w:hAnsi="宋体" w:eastAsia="宋体" w:cs="宋体"/>
                <w:i w:val="0"/>
                <w:color w:val="000000"/>
                <w:kern w:val="0"/>
                <w:sz w:val="18"/>
                <w:szCs w:val="18"/>
              </w:rPr>
            </w:pP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十二、农林水支出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43</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8"/>
                <w:szCs w:val="18"/>
              </w:rPr>
            </w:pP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13</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rPr>
                <w:rFonts w:hint="eastAsia" w:ascii="宋体" w:hAnsi="宋体" w:eastAsia="宋体" w:cs="宋体"/>
                <w:i w:val="0"/>
                <w:color w:val="000000"/>
                <w:kern w:val="0"/>
                <w:sz w:val="18"/>
                <w:szCs w:val="18"/>
              </w:rPr>
            </w:pP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十三、交通运输支出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44</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8"/>
                <w:szCs w:val="18"/>
              </w:rPr>
            </w:pP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14</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rPr>
                <w:rFonts w:hint="eastAsia" w:ascii="宋体" w:hAnsi="宋体" w:eastAsia="宋体" w:cs="宋体"/>
                <w:i w:val="0"/>
                <w:color w:val="000000"/>
                <w:kern w:val="0"/>
                <w:sz w:val="18"/>
                <w:szCs w:val="18"/>
              </w:rPr>
            </w:pP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十四、资源勘探工业信息等支出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45</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8"/>
                <w:szCs w:val="18"/>
              </w:rPr>
            </w:pP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15</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rPr>
                <w:rFonts w:hint="eastAsia" w:ascii="宋体" w:hAnsi="宋体" w:eastAsia="宋体" w:cs="宋体"/>
                <w:i w:val="0"/>
                <w:color w:val="000000"/>
                <w:kern w:val="0"/>
                <w:sz w:val="18"/>
                <w:szCs w:val="18"/>
              </w:rPr>
            </w:pP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十五、商业服务业等支出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46</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8"/>
                <w:szCs w:val="18"/>
              </w:rPr>
            </w:pP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16</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rPr>
                <w:rFonts w:hint="eastAsia" w:ascii="宋体" w:hAnsi="宋体" w:eastAsia="宋体" w:cs="宋体"/>
                <w:i w:val="0"/>
                <w:color w:val="000000"/>
                <w:kern w:val="0"/>
                <w:sz w:val="18"/>
                <w:szCs w:val="18"/>
              </w:rPr>
            </w:pP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十六、金融支出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47</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8"/>
                <w:szCs w:val="18"/>
              </w:rPr>
            </w:pP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17</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rPr>
                <w:rFonts w:hint="eastAsia" w:ascii="宋体" w:hAnsi="宋体" w:eastAsia="宋体" w:cs="宋体"/>
                <w:i w:val="0"/>
                <w:color w:val="000000"/>
                <w:kern w:val="0"/>
                <w:sz w:val="18"/>
                <w:szCs w:val="18"/>
              </w:rPr>
            </w:pP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十七、援助其他地区支出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48</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8"/>
                <w:szCs w:val="18"/>
              </w:rPr>
            </w:pP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18</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rPr>
                <w:rFonts w:hint="eastAsia" w:ascii="宋体" w:hAnsi="宋体" w:eastAsia="宋体" w:cs="宋体"/>
                <w:i w:val="0"/>
                <w:color w:val="000000"/>
                <w:kern w:val="0"/>
                <w:sz w:val="18"/>
                <w:szCs w:val="18"/>
              </w:rPr>
            </w:pP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十八、自然资源海洋气象等支出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49</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8"/>
                <w:szCs w:val="18"/>
              </w:rPr>
            </w:pP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19</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rPr>
                <w:rFonts w:hint="eastAsia" w:ascii="宋体" w:hAnsi="宋体" w:eastAsia="宋体" w:cs="宋体"/>
                <w:i w:val="0"/>
                <w:color w:val="000000"/>
                <w:kern w:val="0"/>
                <w:sz w:val="18"/>
                <w:szCs w:val="18"/>
              </w:rPr>
            </w:pP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十九、住房保障支出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50</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22.18</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8"/>
                <w:szCs w:val="18"/>
              </w:rPr>
            </w:pP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20</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rPr>
                <w:rFonts w:hint="eastAsia" w:ascii="宋体" w:hAnsi="宋体" w:eastAsia="宋体" w:cs="宋体"/>
                <w:i w:val="0"/>
                <w:color w:val="000000"/>
                <w:kern w:val="0"/>
                <w:sz w:val="18"/>
                <w:szCs w:val="18"/>
              </w:rPr>
            </w:pP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二十、粮油物资储备支出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51</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8"/>
                <w:szCs w:val="18"/>
              </w:rPr>
            </w:pP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21</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rPr>
                <w:rFonts w:hint="eastAsia" w:ascii="宋体" w:hAnsi="宋体" w:eastAsia="宋体" w:cs="宋体"/>
                <w:i w:val="0"/>
                <w:color w:val="000000"/>
                <w:kern w:val="0"/>
                <w:sz w:val="18"/>
                <w:szCs w:val="18"/>
              </w:rPr>
            </w:pP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二十一、国有资本经营预算支出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52</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8"/>
                <w:szCs w:val="18"/>
              </w:rPr>
            </w:pP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22</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rPr>
                <w:rFonts w:hint="eastAsia" w:ascii="宋体" w:hAnsi="宋体" w:eastAsia="宋体" w:cs="宋体"/>
                <w:i w:val="0"/>
                <w:color w:val="000000"/>
                <w:kern w:val="0"/>
                <w:sz w:val="18"/>
                <w:szCs w:val="18"/>
              </w:rPr>
            </w:pP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二十二、灾害防治及应急管理支出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53</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8"/>
                <w:szCs w:val="18"/>
              </w:rPr>
            </w:pP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23</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rPr>
                <w:rFonts w:hint="eastAsia" w:ascii="宋体" w:hAnsi="宋体" w:eastAsia="宋体" w:cs="宋体"/>
                <w:i w:val="0"/>
                <w:color w:val="000000"/>
                <w:kern w:val="0"/>
                <w:sz w:val="18"/>
                <w:szCs w:val="18"/>
              </w:rPr>
            </w:pP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二十三、其他支出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54</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rPr>
                <w:rFonts w:hint="eastAsia" w:ascii="宋体" w:hAnsi="宋体" w:eastAsia="宋体" w:cs="宋体"/>
                <w:b/>
                <w:i w:val="0"/>
                <w:color w:val="000000"/>
                <w:kern w:val="0"/>
                <w:sz w:val="18"/>
                <w:szCs w:val="18"/>
              </w:rPr>
            </w:pP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24</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rPr>
                <w:rFonts w:hint="eastAsia" w:ascii="宋体" w:hAnsi="宋体" w:eastAsia="宋体" w:cs="宋体"/>
                <w:i w:val="0"/>
                <w:color w:val="000000"/>
                <w:kern w:val="0"/>
                <w:sz w:val="18"/>
                <w:szCs w:val="18"/>
              </w:rPr>
            </w:pP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二十四、债务还本支出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55</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8"/>
                <w:szCs w:val="18"/>
              </w:rPr>
            </w:pP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25</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rPr>
                <w:rFonts w:hint="eastAsia" w:ascii="宋体" w:hAnsi="宋体" w:eastAsia="宋体" w:cs="宋体"/>
                <w:i w:val="0"/>
                <w:color w:val="000000"/>
                <w:kern w:val="0"/>
                <w:sz w:val="18"/>
                <w:szCs w:val="18"/>
              </w:rPr>
            </w:pP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二十五、债务付息支出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56</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8"/>
                <w:szCs w:val="18"/>
              </w:rPr>
            </w:pP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26</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rPr>
                <w:rFonts w:hint="eastAsia" w:ascii="宋体" w:hAnsi="宋体" w:eastAsia="宋体" w:cs="宋体"/>
                <w:i w:val="0"/>
                <w:color w:val="000000"/>
                <w:kern w:val="0"/>
                <w:sz w:val="18"/>
                <w:szCs w:val="18"/>
              </w:rPr>
            </w:pP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二十六、抗疫特别国债安排的支出</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57</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本年收入合计</w:t>
            </w: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27</w:t>
            </w:r>
          </w:p>
        </w:tc>
        <w:tc>
          <w:tcPr>
            <w:tcW w:w="400" w:type="pct"/>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442.86</w:t>
            </w: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本年支出合计</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58</w:t>
            </w:r>
          </w:p>
        </w:tc>
        <w:tc>
          <w:tcPr>
            <w:tcW w:w="585" w:type="pct"/>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442.86</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使用非财政拨款结余</w:t>
            </w: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28</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结余分配</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59</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年初结转和结余</w:t>
            </w: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29</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年末结转和结余</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60</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8"/>
                <w:szCs w:val="18"/>
              </w:rPr>
            </w:pP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w:t>
            </w:r>
          </w:p>
        </w:tc>
        <w:tc>
          <w:tcPr>
            <w:tcW w:w="40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right"/>
              <w:rPr>
                <w:rFonts w:hint="eastAsia" w:ascii="宋体" w:hAnsi="宋体" w:eastAsia="宋体" w:cs="宋体"/>
                <w:i w:val="0"/>
                <w:color w:val="000000"/>
                <w:kern w:val="0"/>
                <w:sz w:val="18"/>
                <w:szCs w:val="18"/>
              </w:rPr>
            </w:pP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8"/>
                <w:szCs w:val="18"/>
              </w:rPr>
            </w:pP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61</w:t>
            </w:r>
          </w:p>
        </w:tc>
        <w:tc>
          <w:tcPr>
            <w:tcW w:w="58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widowControl/>
              <w:suppressLineNumbers w:val="0"/>
              <w:autoSpaceDE w:val="0"/>
              <w:autoSpaceDN/>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242" w:hRule="atLeast"/>
        </w:trPr>
        <w:tc>
          <w:tcPr>
            <w:tcW w:w="1853"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both"/>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总计</w:t>
            </w:r>
          </w:p>
        </w:tc>
        <w:tc>
          <w:tcPr>
            <w:tcW w:w="23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31</w:t>
            </w:r>
          </w:p>
        </w:tc>
        <w:tc>
          <w:tcPr>
            <w:tcW w:w="400" w:type="pct"/>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442.86</w:t>
            </w:r>
          </w:p>
        </w:tc>
        <w:tc>
          <w:tcPr>
            <w:tcW w:w="16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both"/>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总计</w:t>
            </w:r>
          </w:p>
        </w:tc>
        <w:tc>
          <w:tcPr>
            <w:tcW w:w="2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62</w:t>
            </w:r>
          </w:p>
        </w:tc>
        <w:tc>
          <w:tcPr>
            <w:tcW w:w="585" w:type="pct"/>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442.86</w:t>
            </w:r>
          </w:p>
        </w:tc>
      </w:tr>
      <w:tr>
        <w:tblPrEx>
          <w:tblCellMar>
            <w:top w:w="0" w:type="dxa"/>
            <w:left w:w="0" w:type="dxa"/>
            <w:bottom w:w="0" w:type="dxa"/>
            <w:right w:w="0" w:type="dxa"/>
          </w:tblCellMar>
        </w:tblPrEx>
        <w:trPr>
          <w:trHeight w:val="242" w:hRule="atLeast"/>
        </w:trPr>
        <w:tc>
          <w:tcPr>
            <w:tcW w:w="5000" w:type="pct"/>
            <w:gridSpan w:val="6"/>
            <w:tcBorders>
              <w:top w:val="nil"/>
              <w:left w:val="nil"/>
              <w:bottom w:val="nil"/>
              <w:right w:val="nil"/>
            </w:tcBorders>
            <w:shd w:val="clear" w:color="auto" w:fill="FFFFFF"/>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注：1.本表反映部门本年度的总收支和年末结转结余情况。     </w:t>
            </w:r>
          </w:p>
        </w:tc>
      </w:tr>
      <w:tr>
        <w:tblPrEx>
          <w:tblCellMar>
            <w:top w:w="0" w:type="dxa"/>
            <w:left w:w="0" w:type="dxa"/>
            <w:bottom w:w="0" w:type="dxa"/>
            <w:right w:w="0" w:type="dxa"/>
          </w:tblCellMar>
        </w:tblPrEx>
        <w:trPr>
          <w:trHeight w:val="235" w:hRule="atLeast"/>
        </w:trPr>
        <w:tc>
          <w:tcPr>
            <w:tcW w:w="5000" w:type="pct"/>
            <w:gridSpan w:val="6"/>
            <w:tcBorders>
              <w:top w:val="nil"/>
              <w:left w:val="nil"/>
              <w:bottom w:val="nil"/>
              <w:right w:val="nil"/>
            </w:tcBorders>
            <w:shd w:val="clear" w:color="auto" w:fill="FFFFFF"/>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2.本套报表金额单位转换时可能存在尾数误差。   </w:t>
            </w:r>
          </w:p>
        </w:tc>
      </w:tr>
      <w:tr>
        <w:tblPrEx>
          <w:tblCellMar>
            <w:top w:w="0" w:type="dxa"/>
            <w:left w:w="0" w:type="dxa"/>
            <w:bottom w:w="0" w:type="dxa"/>
            <w:right w:w="0" w:type="dxa"/>
          </w:tblCellMar>
        </w:tblPrEx>
        <w:trPr>
          <w:trHeight w:val="235" w:hRule="atLeast"/>
        </w:trPr>
        <w:tc>
          <w:tcPr>
            <w:tcW w:w="5000" w:type="pct"/>
            <w:gridSpan w:val="6"/>
            <w:tcBorders>
              <w:top w:val="nil"/>
              <w:left w:val="nil"/>
              <w:bottom w:val="nil"/>
              <w:right w:val="nil"/>
            </w:tcBorders>
            <w:shd w:val="clear" w:color="auto" w:fill="FFFFFF"/>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27行＝（1＋2＋3＋4＋5＋6+7+8）行；31行＝（27＋28＋29）行；</w:t>
            </w:r>
          </w:p>
        </w:tc>
      </w:tr>
      <w:tr>
        <w:tblPrEx>
          <w:tblCellMar>
            <w:top w:w="0" w:type="dxa"/>
            <w:left w:w="0" w:type="dxa"/>
            <w:bottom w:w="0" w:type="dxa"/>
            <w:right w:w="0" w:type="dxa"/>
          </w:tblCellMar>
        </w:tblPrEx>
        <w:trPr>
          <w:trHeight w:val="235" w:hRule="atLeast"/>
        </w:trPr>
        <w:tc>
          <w:tcPr>
            <w:tcW w:w="5000" w:type="pct"/>
            <w:gridSpan w:val="6"/>
            <w:tcBorders>
              <w:top w:val="nil"/>
              <w:left w:val="nil"/>
              <w:bottom w:val="nil"/>
              <w:right w:val="nil"/>
            </w:tcBorders>
            <w:shd w:val="clear" w:color="auto" w:fill="FFFFFF"/>
            <w:noWrap/>
            <w:tcMar>
              <w:top w:w="15" w:type="dxa"/>
              <w:left w:w="15" w:type="dxa"/>
              <w:right w:w="15" w:type="dxa"/>
            </w:tcMar>
            <w:vAlign w:val="center"/>
          </w:tcPr>
          <w:p>
            <w:pPr>
              <w:keepNext w:val="0"/>
              <w:keepLines/>
              <w:widowControl/>
              <w:suppressLineNumbers w:val="0"/>
              <w:autoSpaceDE w:val="0"/>
              <w:autoSpaceDN/>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58行＝（32＋33＋…＋57）行；  62行＝（58＋59＋60）行。</w:t>
            </w:r>
          </w:p>
        </w:tc>
      </w:tr>
    </w:tbl>
    <w:p>
      <w:pPr>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16"/>
        <w:tblW w:w="8983" w:type="dxa"/>
        <w:jc w:val="center"/>
        <w:shd w:val="clear" w:color="auto" w:fill="auto"/>
        <w:tblLayout w:type="fixed"/>
        <w:tblCellMar>
          <w:top w:w="0" w:type="dxa"/>
          <w:left w:w="0" w:type="dxa"/>
          <w:bottom w:w="0" w:type="dxa"/>
          <w:right w:w="0" w:type="dxa"/>
        </w:tblCellMar>
      </w:tblPr>
      <w:tblGrid>
        <w:gridCol w:w="244"/>
        <w:gridCol w:w="257"/>
        <w:gridCol w:w="289"/>
        <w:gridCol w:w="3513"/>
        <w:gridCol w:w="902"/>
        <w:gridCol w:w="775"/>
        <w:gridCol w:w="531"/>
        <w:gridCol w:w="529"/>
        <w:gridCol w:w="529"/>
        <w:gridCol w:w="529"/>
        <w:gridCol w:w="885"/>
      </w:tblGrid>
      <w:tr>
        <w:tblPrEx>
          <w:shd w:val="clear" w:color="auto" w:fill="auto"/>
          <w:tblCellMar>
            <w:top w:w="0" w:type="dxa"/>
            <w:left w:w="0" w:type="dxa"/>
            <w:bottom w:w="0" w:type="dxa"/>
            <w:right w:w="0" w:type="dxa"/>
          </w:tblCellMar>
        </w:tblPrEx>
        <w:trPr>
          <w:trHeight w:val="375" w:hRule="atLeast"/>
          <w:jc w:val="center"/>
        </w:trPr>
        <w:tc>
          <w:tcPr>
            <w:tcW w:w="8983" w:type="dxa"/>
            <w:gridSpan w:val="11"/>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30"/>
                <w:szCs w:val="30"/>
              </w:rPr>
            </w:pPr>
            <w:r>
              <w:rPr>
                <w:rFonts w:hint="eastAsia" w:ascii="黑体" w:hAnsi="宋体" w:eastAsia="黑体" w:cs="黑体"/>
                <w:i w:val="0"/>
                <w:color w:val="000000"/>
                <w:kern w:val="0"/>
                <w:sz w:val="30"/>
                <w:szCs w:val="30"/>
              </w:rPr>
              <w:t>2023年度收入决算表（表2）</w:t>
            </w:r>
          </w:p>
        </w:tc>
      </w:tr>
      <w:tr>
        <w:tblPrEx>
          <w:tblCellMar>
            <w:top w:w="0" w:type="dxa"/>
            <w:left w:w="0" w:type="dxa"/>
            <w:bottom w:w="0" w:type="dxa"/>
            <w:right w:w="0" w:type="dxa"/>
          </w:tblCellMar>
        </w:tblPrEx>
        <w:trPr>
          <w:trHeight w:val="300" w:hRule="atLeast"/>
          <w:jc w:val="center"/>
        </w:trPr>
        <w:tc>
          <w:tcPr>
            <w:tcW w:w="24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5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8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351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90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77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53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52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943" w:type="dxa"/>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公开02表</w:t>
            </w:r>
          </w:p>
        </w:tc>
      </w:tr>
      <w:tr>
        <w:tblPrEx>
          <w:tblCellMar>
            <w:top w:w="0" w:type="dxa"/>
            <w:left w:w="0" w:type="dxa"/>
            <w:bottom w:w="0" w:type="dxa"/>
            <w:right w:w="0" w:type="dxa"/>
          </w:tblCellMar>
        </w:tblPrEx>
        <w:trPr>
          <w:trHeight w:val="300" w:hRule="atLeast"/>
          <w:jc w:val="center"/>
        </w:trPr>
        <w:tc>
          <w:tcPr>
            <w:tcW w:w="4303"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部门：武汉市蔡甸区医疗保障局（本级）</w:t>
            </w:r>
          </w:p>
        </w:tc>
        <w:tc>
          <w:tcPr>
            <w:tcW w:w="902"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p>
        </w:tc>
        <w:tc>
          <w:tcPr>
            <w:tcW w:w="775"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p>
        </w:tc>
        <w:tc>
          <w:tcPr>
            <w:tcW w:w="531"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p>
        </w:tc>
        <w:tc>
          <w:tcPr>
            <w:tcW w:w="529"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p>
        </w:tc>
        <w:tc>
          <w:tcPr>
            <w:tcW w:w="1943"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金额单位：万元</w:t>
            </w:r>
          </w:p>
        </w:tc>
      </w:tr>
      <w:tr>
        <w:tblPrEx>
          <w:tblCellMar>
            <w:top w:w="0" w:type="dxa"/>
            <w:left w:w="0" w:type="dxa"/>
            <w:bottom w:w="0" w:type="dxa"/>
            <w:right w:w="0" w:type="dxa"/>
          </w:tblCellMar>
        </w:tblPrEx>
        <w:trPr>
          <w:trHeight w:val="300" w:hRule="atLeast"/>
          <w:jc w:val="center"/>
        </w:trPr>
        <w:tc>
          <w:tcPr>
            <w:tcW w:w="4303"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项目</w:t>
            </w:r>
          </w:p>
        </w:tc>
        <w:tc>
          <w:tcPr>
            <w:tcW w:w="90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本年收入合计</w:t>
            </w:r>
          </w:p>
        </w:tc>
        <w:tc>
          <w:tcPr>
            <w:tcW w:w="77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财政拨款收入</w:t>
            </w:r>
          </w:p>
        </w:tc>
        <w:tc>
          <w:tcPr>
            <w:tcW w:w="53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上级补助收入</w:t>
            </w:r>
          </w:p>
        </w:tc>
        <w:tc>
          <w:tcPr>
            <w:tcW w:w="52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事业收入</w:t>
            </w:r>
          </w:p>
        </w:tc>
        <w:tc>
          <w:tcPr>
            <w:tcW w:w="52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经营收入</w:t>
            </w:r>
          </w:p>
        </w:tc>
        <w:tc>
          <w:tcPr>
            <w:tcW w:w="52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附属单位上缴收入</w:t>
            </w:r>
          </w:p>
        </w:tc>
        <w:tc>
          <w:tcPr>
            <w:tcW w:w="88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其他收入</w:t>
            </w:r>
          </w:p>
        </w:tc>
      </w:tr>
      <w:tr>
        <w:tblPrEx>
          <w:tblCellMar>
            <w:top w:w="0" w:type="dxa"/>
            <w:left w:w="0" w:type="dxa"/>
            <w:bottom w:w="0" w:type="dxa"/>
            <w:right w:w="0" w:type="dxa"/>
          </w:tblCellMar>
        </w:tblPrEx>
        <w:trPr>
          <w:trHeight w:val="300" w:hRule="atLeast"/>
          <w:jc w:val="center"/>
        </w:trPr>
        <w:tc>
          <w:tcPr>
            <w:tcW w:w="790"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功能分类 </w:t>
            </w:r>
            <w:r>
              <w:rPr>
                <w:rFonts w:hint="eastAsia" w:ascii="宋体" w:hAnsi="宋体" w:eastAsia="宋体" w:cs="宋体"/>
                <w:i w:val="0"/>
                <w:color w:val="000000"/>
                <w:kern w:val="0"/>
                <w:sz w:val="20"/>
                <w:szCs w:val="20"/>
              </w:rPr>
              <w:br w:type="textWrapping"/>
            </w:r>
            <w:r>
              <w:rPr>
                <w:rFonts w:hint="eastAsia" w:ascii="宋体" w:hAnsi="宋体" w:eastAsia="宋体" w:cs="宋体"/>
                <w:i w:val="0"/>
                <w:color w:val="000000"/>
                <w:kern w:val="0"/>
                <w:sz w:val="20"/>
                <w:szCs w:val="20"/>
              </w:rPr>
              <w:t>科目编码</w:t>
            </w:r>
          </w:p>
        </w:tc>
        <w:tc>
          <w:tcPr>
            <w:tcW w:w="3513"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科目名称</w:t>
            </w:r>
          </w:p>
        </w:tc>
        <w:tc>
          <w:tcPr>
            <w:tcW w:w="90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7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53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52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52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52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88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300" w:hRule="atLeast"/>
          <w:jc w:val="center"/>
        </w:trPr>
        <w:tc>
          <w:tcPr>
            <w:tcW w:w="790"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3513"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90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7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53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52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52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52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88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300" w:hRule="atLeast"/>
          <w:jc w:val="center"/>
        </w:trPr>
        <w:tc>
          <w:tcPr>
            <w:tcW w:w="790"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3513"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90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7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53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52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52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52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88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300" w:hRule="atLeast"/>
          <w:jc w:val="center"/>
        </w:trPr>
        <w:tc>
          <w:tcPr>
            <w:tcW w:w="244" w:type="dxa"/>
            <w:vMerge w:val="restar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类</w:t>
            </w:r>
          </w:p>
        </w:tc>
        <w:tc>
          <w:tcPr>
            <w:tcW w:w="257"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款</w:t>
            </w:r>
          </w:p>
        </w:tc>
        <w:tc>
          <w:tcPr>
            <w:tcW w:w="289"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项</w:t>
            </w:r>
          </w:p>
        </w:tc>
        <w:tc>
          <w:tcPr>
            <w:tcW w:w="35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栏次</w:t>
            </w:r>
          </w:p>
        </w:tc>
        <w:tc>
          <w:tcPr>
            <w:tcW w:w="90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w:t>
            </w:r>
          </w:p>
        </w:tc>
        <w:tc>
          <w:tcPr>
            <w:tcW w:w="7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w:t>
            </w:r>
          </w:p>
        </w:tc>
        <w:tc>
          <w:tcPr>
            <w:tcW w:w="5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w:t>
            </w:r>
          </w:p>
        </w:tc>
        <w:tc>
          <w:tcPr>
            <w:tcW w:w="52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w:t>
            </w:r>
          </w:p>
        </w:tc>
        <w:tc>
          <w:tcPr>
            <w:tcW w:w="52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w:t>
            </w:r>
          </w:p>
        </w:tc>
        <w:tc>
          <w:tcPr>
            <w:tcW w:w="52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w:t>
            </w:r>
          </w:p>
        </w:tc>
        <w:tc>
          <w:tcPr>
            <w:tcW w:w="88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w:t>
            </w:r>
          </w:p>
        </w:tc>
      </w:tr>
      <w:tr>
        <w:tblPrEx>
          <w:tblCellMar>
            <w:top w:w="0" w:type="dxa"/>
            <w:left w:w="0" w:type="dxa"/>
            <w:bottom w:w="0" w:type="dxa"/>
            <w:right w:w="0" w:type="dxa"/>
          </w:tblCellMar>
        </w:tblPrEx>
        <w:trPr>
          <w:trHeight w:val="300" w:hRule="atLeast"/>
          <w:jc w:val="center"/>
        </w:trPr>
        <w:tc>
          <w:tcPr>
            <w:tcW w:w="244" w:type="dxa"/>
            <w:vMerge w:val="continue"/>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257"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289"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35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合计</w:t>
            </w:r>
          </w:p>
        </w:tc>
        <w:tc>
          <w:tcPr>
            <w:tcW w:w="90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442.86</w:t>
            </w:r>
          </w:p>
        </w:tc>
        <w:tc>
          <w:tcPr>
            <w:tcW w:w="77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442.86</w:t>
            </w:r>
          </w:p>
        </w:tc>
        <w:tc>
          <w:tcPr>
            <w:tcW w:w="53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9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208</w:t>
            </w:r>
          </w:p>
        </w:tc>
        <w:tc>
          <w:tcPr>
            <w:tcW w:w="35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社会保障和就业支出</w:t>
            </w:r>
          </w:p>
        </w:tc>
        <w:tc>
          <w:tcPr>
            <w:tcW w:w="90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22.28</w:t>
            </w:r>
          </w:p>
        </w:tc>
        <w:tc>
          <w:tcPr>
            <w:tcW w:w="7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22.28</w:t>
            </w:r>
          </w:p>
        </w:tc>
        <w:tc>
          <w:tcPr>
            <w:tcW w:w="5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9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20805</w:t>
            </w:r>
          </w:p>
        </w:tc>
        <w:tc>
          <w:tcPr>
            <w:tcW w:w="35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行政事业单位养老支出</w:t>
            </w:r>
          </w:p>
        </w:tc>
        <w:tc>
          <w:tcPr>
            <w:tcW w:w="90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22.07</w:t>
            </w:r>
          </w:p>
        </w:tc>
        <w:tc>
          <w:tcPr>
            <w:tcW w:w="7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22.07</w:t>
            </w:r>
          </w:p>
        </w:tc>
        <w:tc>
          <w:tcPr>
            <w:tcW w:w="5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0.00</w:t>
            </w: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0.00</w:t>
            </w: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0.00</w:t>
            </w: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0.00</w:t>
            </w:r>
          </w:p>
        </w:tc>
        <w:tc>
          <w:tcPr>
            <w:tcW w:w="8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0.00</w:t>
            </w:r>
          </w:p>
        </w:tc>
      </w:tr>
      <w:tr>
        <w:tblPrEx>
          <w:tblCellMar>
            <w:top w:w="0" w:type="dxa"/>
            <w:left w:w="0" w:type="dxa"/>
            <w:bottom w:w="0" w:type="dxa"/>
            <w:right w:w="0" w:type="dxa"/>
          </w:tblCellMar>
        </w:tblPrEx>
        <w:trPr>
          <w:trHeight w:val="300" w:hRule="atLeast"/>
          <w:jc w:val="center"/>
        </w:trPr>
        <w:tc>
          <w:tcPr>
            <w:tcW w:w="79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2080505</w:t>
            </w:r>
          </w:p>
        </w:tc>
        <w:tc>
          <w:tcPr>
            <w:tcW w:w="351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机关事业单位基本养老保险缴费支出</w:t>
            </w:r>
          </w:p>
        </w:tc>
        <w:tc>
          <w:tcPr>
            <w:tcW w:w="90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22.07</w:t>
            </w:r>
          </w:p>
        </w:tc>
        <w:tc>
          <w:tcPr>
            <w:tcW w:w="7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22.07</w:t>
            </w:r>
          </w:p>
        </w:tc>
        <w:tc>
          <w:tcPr>
            <w:tcW w:w="5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0.00</w:t>
            </w: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0.00</w:t>
            </w: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0.00</w:t>
            </w: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0.00</w:t>
            </w: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0.00</w:t>
            </w:r>
          </w:p>
        </w:tc>
      </w:tr>
      <w:tr>
        <w:tblPrEx>
          <w:tblCellMar>
            <w:top w:w="0" w:type="dxa"/>
            <w:left w:w="0" w:type="dxa"/>
            <w:bottom w:w="0" w:type="dxa"/>
            <w:right w:w="0" w:type="dxa"/>
          </w:tblCellMar>
        </w:tblPrEx>
        <w:trPr>
          <w:trHeight w:val="300" w:hRule="atLeast"/>
          <w:jc w:val="center"/>
        </w:trPr>
        <w:tc>
          <w:tcPr>
            <w:tcW w:w="79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20899</w:t>
            </w:r>
          </w:p>
        </w:tc>
        <w:tc>
          <w:tcPr>
            <w:tcW w:w="35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其他社会保障和就业支出</w:t>
            </w:r>
          </w:p>
        </w:tc>
        <w:tc>
          <w:tcPr>
            <w:tcW w:w="90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0.21</w:t>
            </w:r>
          </w:p>
        </w:tc>
        <w:tc>
          <w:tcPr>
            <w:tcW w:w="7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0.21</w:t>
            </w:r>
          </w:p>
        </w:tc>
        <w:tc>
          <w:tcPr>
            <w:tcW w:w="5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9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2089999</w:t>
            </w:r>
          </w:p>
        </w:tc>
        <w:tc>
          <w:tcPr>
            <w:tcW w:w="351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其他社会保障和就业支出</w:t>
            </w:r>
          </w:p>
        </w:tc>
        <w:tc>
          <w:tcPr>
            <w:tcW w:w="90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0.21</w:t>
            </w:r>
          </w:p>
        </w:tc>
        <w:tc>
          <w:tcPr>
            <w:tcW w:w="7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0.21</w:t>
            </w:r>
          </w:p>
        </w:tc>
        <w:tc>
          <w:tcPr>
            <w:tcW w:w="5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9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210</w:t>
            </w:r>
          </w:p>
        </w:tc>
        <w:tc>
          <w:tcPr>
            <w:tcW w:w="35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卫生健康支出</w:t>
            </w:r>
          </w:p>
        </w:tc>
        <w:tc>
          <w:tcPr>
            <w:tcW w:w="90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398.40</w:t>
            </w:r>
          </w:p>
        </w:tc>
        <w:tc>
          <w:tcPr>
            <w:tcW w:w="7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398.40</w:t>
            </w:r>
          </w:p>
        </w:tc>
        <w:tc>
          <w:tcPr>
            <w:tcW w:w="5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9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21011</w:t>
            </w:r>
          </w:p>
        </w:tc>
        <w:tc>
          <w:tcPr>
            <w:tcW w:w="35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行政事业单位医疗</w:t>
            </w:r>
          </w:p>
        </w:tc>
        <w:tc>
          <w:tcPr>
            <w:tcW w:w="90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12.70</w:t>
            </w:r>
          </w:p>
        </w:tc>
        <w:tc>
          <w:tcPr>
            <w:tcW w:w="7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12.70</w:t>
            </w:r>
          </w:p>
        </w:tc>
        <w:tc>
          <w:tcPr>
            <w:tcW w:w="5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9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2101101</w:t>
            </w:r>
          </w:p>
        </w:tc>
        <w:tc>
          <w:tcPr>
            <w:tcW w:w="351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行政单位医疗</w:t>
            </w:r>
          </w:p>
        </w:tc>
        <w:tc>
          <w:tcPr>
            <w:tcW w:w="90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6.24</w:t>
            </w:r>
          </w:p>
        </w:tc>
        <w:tc>
          <w:tcPr>
            <w:tcW w:w="7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6.24</w:t>
            </w:r>
          </w:p>
        </w:tc>
        <w:tc>
          <w:tcPr>
            <w:tcW w:w="5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9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2101103</w:t>
            </w:r>
          </w:p>
        </w:tc>
        <w:tc>
          <w:tcPr>
            <w:tcW w:w="351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公务员医疗补助</w:t>
            </w:r>
          </w:p>
        </w:tc>
        <w:tc>
          <w:tcPr>
            <w:tcW w:w="90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6.46</w:t>
            </w:r>
          </w:p>
        </w:tc>
        <w:tc>
          <w:tcPr>
            <w:tcW w:w="7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6.46</w:t>
            </w:r>
          </w:p>
        </w:tc>
        <w:tc>
          <w:tcPr>
            <w:tcW w:w="5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9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21015</w:t>
            </w:r>
          </w:p>
        </w:tc>
        <w:tc>
          <w:tcPr>
            <w:tcW w:w="35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医疗保障管理事务</w:t>
            </w:r>
          </w:p>
        </w:tc>
        <w:tc>
          <w:tcPr>
            <w:tcW w:w="90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385.70</w:t>
            </w:r>
          </w:p>
        </w:tc>
        <w:tc>
          <w:tcPr>
            <w:tcW w:w="7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385.70</w:t>
            </w:r>
          </w:p>
        </w:tc>
        <w:tc>
          <w:tcPr>
            <w:tcW w:w="5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9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2101501</w:t>
            </w:r>
          </w:p>
        </w:tc>
        <w:tc>
          <w:tcPr>
            <w:tcW w:w="351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行政运行</w:t>
            </w:r>
          </w:p>
        </w:tc>
        <w:tc>
          <w:tcPr>
            <w:tcW w:w="90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171.90</w:t>
            </w:r>
          </w:p>
        </w:tc>
        <w:tc>
          <w:tcPr>
            <w:tcW w:w="7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171.90</w:t>
            </w:r>
          </w:p>
        </w:tc>
        <w:tc>
          <w:tcPr>
            <w:tcW w:w="5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9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2101502</w:t>
            </w:r>
          </w:p>
        </w:tc>
        <w:tc>
          <w:tcPr>
            <w:tcW w:w="351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一般行政管理事务</w:t>
            </w:r>
          </w:p>
        </w:tc>
        <w:tc>
          <w:tcPr>
            <w:tcW w:w="90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141.00</w:t>
            </w:r>
          </w:p>
        </w:tc>
        <w:tc>
          <w:tcPr>
            <w:tcW w:w="7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141.00</w:t>
            </w:r>
          </w:p>
        </w:tc>
        <w:tc>
          <w:tcPr>
            <w:tcW w:w="5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9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2101505</w:t>
            </w:r>
          </w:p>
        </w:tc>
        <w:tc>
          <w:tcPr>
            <w:tcW w:w="351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医疗保障政策管理</w:t>
            </w:r>
          </w:p>
        </w:tc>
        <w:tc>
          <w:tcPr>
            <w:tcW w:w="90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24.00</w:t>
            </w:r>
          </w:p>
        </w:tc>
        <w:tc>
          <w:tcPr>
            <w:tcW w:w="7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24.00</w:t>
            </w:r>
          </w:p>
        </w:tc>
        <w:tc>
          <w:tcPr>
            <w:tcW w:w="5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9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2101506</w:t>
            </w:r>
          </w:p>
        </w:tc>
        <w:tc>
          <w:tcPr>
            <w:tcW w:w="351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医疗保障经办事务</w:t>
            </w:r>
          </w:p>
        </w:tc>
        <w:tc>
          <w:tcPr>
            <w:tcW w:w="90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21.00</w:t>
            </w:r>
          </w:p>
        </w:tc>
        <w:tc>
          <w:tcPr>
            <w:tcW w:w="7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21.00</w:t>
            </w:r>
          </w:p>
        </w:tc>
        <w:tc>
          <w:tcPr>
            <w:tcW w:w="5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9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2101599</w:t>
            </w:r>
          </w:p>
        </w:tc>
        <w:tc>
          <w:tcPr>
            <w:tcW w:w="351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其他医疗保障管理事务支出</w:t>
            </w:r>
          </w:p>
        </w:tc>
        <w:tc>
          <w:tcPr>
            <w:tcW w:w="90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27.80</w:t>
            </w:r>
          </w:p>
        </w:tc>
        <w:tc>
          <w:tcPr>
            <w:tcW w:w="7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27.80</w:t>
            </w:r>
          </w:p>
        </w:tc>
        <w:tc>
          <w:tcPr>
            <w:tcW w:w="5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9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w:t>
            </w:r>
          </w:p>
        </w:tc>
        <w:tc>
          <w:tcPr>
            <w:tcW w:w="35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住房保障支出</w:t>
            </w:r>
          </w:p>
        </w:tc>
        <w:tc>
          <w:tcPr>
            <w:tcW w:w="90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22.18</w:t>
            </w:r>
          </w:p>
        </w:tc>
        <w:tc>
          <w:tcPr>
            <w:tcW w:w="7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22.18</w:t>
            </w:r>
          </w:p>
        </w:tc>
        <w:tc>
          <w:tcPr>
            <w:tcW w:w="5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9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22102</w:t>
            </w:r>
          </w:p>
        </w:tc>
        <w:tc>
          <w:tcPr>
            <w:tcW w:w="35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住房改革支出</w:t>
            </w:r>
          </w:p>
        </w:tc>
        <w:tc>
          <w:tcPr>
            <w:tcW w:w="90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22.18</w:t>
            </w:r>
          </w:p>
        </w:tc>
        <w:tc>
          <w:tcPr>
            <w:tcW w:w="7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22.18</w:t>
            </w:r>
          </w:p>
        </w:tc>
        <w:tc>
          <w:tcPr>
            <w:tcW w:w="5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9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2210201</w:t>
            </w:r>
          </w:p>
        </w:tc>
        <w:tc>
          <w:tcPr>
            <w:tcW w:w="351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住房公积金</w:t>
            </w:r>
          </w:p>
        </w:tc>
        <w:tc>
          <w:tcPr>
            <w:tcW w:w="90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18.06</w:t>
            </w:r>
          </w:p>
        </w:tc>
        <w:tc>
          <w:tcPr>
            <w:tcW w:w="7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18.06</w:t>
            </w:r>
          </w:p>
        </w:tc>
        <w:tc>
          <w:tcPr>
            <w:tcW w:w="5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9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2210202</w:t>
            </w:r>
          </w:p>
        </w:tc>
        <w:tc>
          <w:tcPr>
            <w:tcW w:w="351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提租补贴</w:t>
            </w:r>
          </w:p>
        </w:tc>
        <w:tc>
          <w:tcPr>
            <w:tcW w:w="90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4.12</w:t>
            </w:r>
          </w:p>
        </w:tc>
        <w:tc>
          <w:tcPr>
            <w:tcW w:w="7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4.12</w:t>
            </w:r>
          </w:p>
        </w:tc>
        <w:tc>
          <w:tcPr>
            <w:tcW w:w="5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8983" w:type="dxa"/>
            <w:gridSpan w:val="11"/>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注：本表反映部门本年度取得的各项收入情况。</w:t>
            </w:r>
          </w:p>
        </w:tc>
      </w:tr>
      <w:tr>
        <w:tblPrEx>
          <w:tblCellMar>
            <w:top w:w="0" w:type="dxa"/>
            <w:left w:w="0" w:type="dxa"/>
            <w:bottom w:w="0" w:type="dxa"/>
            <w:right w:w="0" w:type="dxa"/>
          </w:tblCellMar>
        </w:tblPrEx>
        <w:trPr>
          <w:trHeight w:val="300" w:hRule="atLeast"/>
          <w:jc w:val="center"/>
        </w:trPr>
        <w:tc>
          <w:tcPr>
            <w:tcW w:w="8983" w:type="dxa"/>
            <w:gridSpan w:val="11"/>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1栏各行＝（2＋3＋4＋5＋6＋7）栏各行。</w:t>
            </w:r>
          </w:p>
        </w:tc>
      </w:tr>
    </w:tbl>
    <w:p>
      <w:pPr>
        <w:keepNext w:val="0"/>
        <w:keepLines w:val="0"/>
        <w:widowControl/>
        <w:suppressLineNumbers w:val="0"/>
        <w:autoSpaceDE w:val="0"/>
        <w:autoSpaceDN/>
        <w:snapToGrid w:val="0"/>
        <w:spacing w:before="0" w:beforeAutospacing="1" w:after="0" w:afterAutospacing="1"/>
        <w:rPr>
          <w:rFonts w:hint="eastAsia" w:ascii="宋体" w:hAnsi="宋体" w:eastAsia="宋体" w:cs="宋体"/>
          <w:b/>
          <w:kern w:val="0"/>
          <w:sz w:val="24"/>
          <w:szCs w:val="24"/>
        </w:rPr>
      </w:pPr>
      <w:r>
        <w:rPr>
          <w:rFonts w:hint="eastAsia" w:ascii="宋体" w:hAnsi="宋体" w:eastAsia="宋体" w:cs="宋体"/>
          <w:b/>
          <w:kern w:val="0"/>
          <w:sz w:val="24"/>
          <w:szCs w:val="24"/>
        </w:rPr>
        <w:t xml:space="preserve"> </w:t>
      </w:r>
    </w:p>
    <w:p>
      <w:pPr>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16"/>
        <w:tblW w:w="8929" w:type="dxa"/>
        <w:jc w:val="center"/>
        <w:shd w:val="clear" w:color="auto" w:fill="auto"/>
        <w:tblLayout w:type="fixed"/>
        <w:tblCellMar>
          <w:top w:w="0" w:type="dxa"/>
          <w:left w:w="0" w:type="dxa"/>
          <w:bottom w:w="0" w:type="dxa"/>
          <w:right w:w="0" w:type="dxa"/>
        </w:tblCellMar>
      </w:tblPr>
      <w:tblGrid>
        <w:gridCol w:w="251"/>
        <w:gridCol w:w="251"/>
        <w:gridCol w:w="251"/>
        <w:gridCol w:w="3356"/>
        <w:gridCol w:w="900"/>
        <w:gridCol w:w="855"/>
        <w:gridCol w:w="900"/>
        <w:gridCol w:w="885"/>
        <w:gridCol w:w="555"/>
        <w:gridCol w:w="725"/>
      </w:tblGrid>
      <w:tr>
        <w:tblPrEx>
          <w:shd w:val="clear" w:color="auto" w:fill="auto"/>
          <w:tblCellMar>
            <w:top w:w="0" w:type="dxa"/>
            <w:left w:w="0" w:type="dxa"/>
            <w:bottom w:w="0" w:type="dxa"/>
            <w:right w:w="0" w:type="dxa"/>
          </w:tblCellMar>
        </w:tblPrEx>
        <w:trPr>
          <w:trHeight w:val="375" w:hRule="atLeast"/>
          <w:jc w:val="center"/>
        </w:trPr>
        <w:tc>
          <w:tcPr>
            <w:tcW w:w="8929"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30"/>
                <w:szCs w:val="30"/>
              </w:rPr>
            </w:pPr>
            <w:r>
              <w:rPr>
                <w:rFonts w:hint="eastAsia" w:ascii="黑体" w:hAnsi="宋体" w:eastAsia="黑体" w:cs="黑体"/>
                <w:i w:val="0"/>
                <w:color w:val="000000"/>
                <w:kern w:val="0"/>
                <w:sz w:val="30"/>
                <w:szCs w:val="30"/>
              </w:rPr>
              <w:t>2023年度支出决算表（表3）</w:t>
            </w:r>
          </w:p>
        </w:tc>
      </w:tr>
      <w:tr>
        <w:tblPrEx>
          <w:tblCellMar>
            <w:top w:w="0" w:type="dxa"/>
            <w:left w:w="0" w:type="dxa"/>
            <w:bottom w:w="0" w:type="dxa"/>
            <w:right w:w="0" w:type="dxa"/>
          </w:tblCellMar>
        </w:tblPrEx>
        <w:trPr>
          <w:trHeight w:val="300" w:hRule="atLeast"/>
          <w:jc w:val="center"/>
        </w:trPr>
        <w:tc>
          <w:tcPr>
            <w:tcW w:w="25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5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5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335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9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85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9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165" w:type="dxa"/>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公开03表</w:t>
            </w:r>
          </w:p>
        </w:tc>
      </w:tr>
      <w:tr>
        <w:tblPrEx>
          <w:tblCellMar>
            <w:top w:w="0" w:type="dxa"/>
            <w:left w:w="0" w:type="dxa"/>
            <w:bottom w:w="0" w:type="dxa"/>
            <w:right w:w="0" w:type="dxa"/>
          </w:tblCellMar>
        </w:tblPrEx>
        <w:trPr>
          <w:trHeight w:val="300" w:hRule="atLeast"/>
          <w:jc w:val="center"/>
        </w:trPr>
        <w:tc>
          <w:tcPr>
            <w:tcW w:w="4109"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部门：武汉市蔡甸区医疗保障局（本级）</w:t>
            </w:r>
          </w:p>
        </w:tc>
        <w:tc>
          <w:tcPr>
            <w:tcW w:w="90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p>
        </w:tc>
        <w:tc>
          <w:tcPr>
            <w:tcW w:w="855"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p>
        </w:tc>
        <w:tc>
          <w:tcPr>
            <w:tcW w:w="90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p>
        </w:tc>
        <w:tc>
          <w:tcPr>
            <w:tcW w:w="2165"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金额单位：万元</w:t>
            </w:r>
          </w:p>
        </w:tc>
      </w:tr>
      <w:tr>
        <w:tblPrEx>
          <w:tblCellMar>
            <w:top w:w="0" w:type="dxa"/>
            <w:left w:w="0" w:type="dxa"/>
            <w:bottom w:w="0" w:type="dxa"/>
            <w:right w:w="0" w:type="dxa"/>
          </w:tblCellMar>
        </w:tblPrEx>
        <w:trPr>
          <w:trHeight w:val="300" w:hRule="atLeast"/>
          <w:jc w:val="center"/>
        </w:trPr>
        <w:tc>
          <w:tcPr>
            <w:tcW w:w="4109"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项目</w:t>
            </w:r>
          </w:p>
        </w:tc>
        <w:tc>
          <w:tcPr>
            <w:tcW w:w="9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本年支出合计</w:t>
            </w:r>
          </w:p>
        </w:tc>
        <w:tc>
          <w:tcPr>
            <w:tcW w:w="85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基本支出</w:t>
            </w:r>
          </w:p>
        </w:tc>
        <w:tc>
          <w:tcPr>
            <w:tcW w:w="9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项目支出</w:t>
            </w:r>
          </w:p>
        </w:tc>
        <w:tc>
          <w:tcPr>
            <w:tcW w:w="88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上缴上级支出</w:t>
            </w:r>
          </w:p>
        </w:tc>
        <w:tc>
          <w:tcPr>
            <w:tcW w:w="55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经营支出</w:t>
            </w:r>
          </w:p>
        </w:tc>
        <w:tc>
          <w:tcPr>
            <w:tcW w:w="72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对附属单位补助支出</w:t>
            </w:r>
          </w:p>
        </w:tc>
      </w:tr>
      <w:tr>
        <w:tblPrEx>
          <w:tblCellMar>
            <w:top w:w="0" w:type="dxa"/>
            <w:left w:w="0" w:type="dxa"/>
            <w:bottom w:w="0" w:type="dxa"/>
            <w:right w:w="0" w:type="dxa"/>
          </w:tblCellMar>
        </w:tblPrEx>
        <w:trPr>
          <w:trHeight w:val="300" w:hRule="atLeast"/>
          <w:jc w:val="center"/>
        </w:trPr>
        <w:tc>
          <w:tcPr>
            <w:tcW w:w="753"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功能分类</w:t>
            </w:r>
            <w:r>
              <w:rPr>
                <w:rFonts w:hint="eastAsia" w:ascii="宋体" w:hAnsi="宋体" w:eastAsia="宋体" w:cs="宋体"/>
                <w:i w:val="0"/>
                <w:color w:val="000000"/>
                <w:kern w:val="0"/>
                <w:sz w:val="20"/>
                <w:szCs w:val="20"/>
              </w:rPr>
              <w:br w:type="textWrapping"/>
            </w:r>
            <w:r>
              <w:rPr>
                <w:rFonts w:hint="eastAsia" w:ascii="宋体" w:hAnsi="宋体" w:eastAsia="宋体" w:cs="宋体"/>
                <w:i w:val="0"/>
                <w:color w:val="000000"/>
                <w:kern w:val="0"/>
                <w:sz w:val="20"/>
                <w:szCs w:val="20"/>
              </w:rPr>
              <w:t>科目编码</w:t>
            </w:r>
          </w:p>
        </w:tc>
        <w:tc>
          <w:tcPr>
            <w:tcW w:w="3356"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科目名称</w:t>
            </w:r>
          </w:p>
        </w:tc>
        <w:tc>
          <w:tcPr>
            <w:tcW w:w="9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85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9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88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55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72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300" w:hRule="atLeast"/>
          <w:jc w:val="center"/>
        </w:trPr>
        <w:tc>
          <w:tcPr>
            <w:tcW w:w="753"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3356"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9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85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9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88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55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72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300" w:hRule="atLeast"/>
          <w:jc w:val="center"/>
        </w:trPr>
        <w:tc>
          <w:tcPr>
            <w:tcW w:w="753"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3356"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9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85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9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88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55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72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300" w:hRule="atLeast"/>
          <w:jc w:val="center"/>
        </w:trPr>
        <w:tc>
          <w:tcPr>
            <w:tcW w:w="251" w:type="dxa"/>
            <w:vMerge w:val="restar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类</w:t>
            </w:r>
          </w:p>
        </w:tc>
        <w:tc>
          <w:tcPr>
            <w:tcW w:w="251"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款</w:t>
            </w:r>
          </w:p>
        </w:tc>
        <w:tc>
          <w:tcPr>
            <w:tcW w:w="251"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项</w:t>
            </w:r>
          </w:p>
        </w:tc>
        <w:tc>
          <w:tcPr>
            <w:tcW w:w="33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栏次</w:t>
            </w:r>
          </w:p>
        </w:tc>
        <w:tc>
          <w:tcPr>
            <w:tcW w:w="9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w:t>
            </w:r>
          </w:p>
        </w:tc>
        <w:tc>
          <w:tcPr>
            <w:tcW w:w="85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w:t>
            </w:r>
          </w:p>
        </w:tc>
        <w:tc>
          <w:tcPr>
            <w:tcW w:w="9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w:t>
            </w:r>
          </w:p>
        </w:tc>
        <w:tc>
          <w:tcPr>
            <w:tcW w:w="88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w:t>
            </w:r>
          </w:p>
        </w:tc>
        <w:tc>
          <w:tcPr>
            <w:tcW w:w="55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w:t>
            </w:r>
          </w:p>
        </w:tc>
        <w:tc>
          <w:tcPr>
            <w:tcW w:w="7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w:t>
            </w:r>
          </w:p>
        </w:tc>
      </w:tr>
      <w:tr>
        <w:tblPrEx>
          <w:tblCellMar>
            <w:top w:w="0" w:type="dxa"/>
            <w:left w:w="0" w:type="dxa"/>
            <w:bottom w:w="0" w:type="dxa"/>
            <w:right w:w="0" w:type="dxa"/>
          </w:tblCellMar>
        </w:tblPrEx>
        <w:trPr>
          <w:trHeight w:val="300" w:hRule="atLeast"/>
          <w:jc w:val="center"/>
        </w:trPr>
        <w:tc>
          <w:tcPr>
            <w:tcW w:w="251" w:type="dxa"/>
            <w:vMerge w:val="continue"/>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251"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251"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33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合计</w:t>
            </w:r>
          </w:p>
        </w:tc>
        <w:tc>
          <w:tcPr>
            <w:tcW w:w="9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442.86</w:t>
            </w:r>
          </w:p>
        </w:tc>
        <w:tc>
          <w:tcPr>
            <w:tcW w:w="85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243.12</w:t>
            </w:r>
          </w:p>
        </w:tc>
        <w:tc>
          <w:tcPr>
            <w:tcW w:w="9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199.74</w:t>
            </w:r>
          </w:p>
        </w:tc>
        <w:tc>
          <w:tcPr>
            <w:tcW w:w="88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5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72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5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208</w:t>
            </w:r>
          </w:p>
        </w:tc>
        <w:tc>
          <w:tcPr>
            <w:tcW w:w="33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社会保障和就业支出</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22.28</w:t>
            </w:r>
          </w:p>
        </w:tc>
        <w:tc>
          <w:tcPr>
            <w:tcW w:w="8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22.28</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7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5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20805</w:t>
            </w:r>
          </w:p>
        </w:tc>
        <w:tc>
          <w:tcPr>
            <w:tcW w:w="33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行政事业单位养老支出</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22.07</w:t>
            </w:r>
          </w:p>
        </w:tc>
        <w:tc>
          <w:tcPr>
            <w:tcW w:w="8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22.07</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0.00</w:t>
            </w:r>
          </w:p>
        </w:tc>
        <w:tc>
          <w:tcPr>
            <w:tcW w:w="8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0.00</w:t>
            </w: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0.00</w:t>
            </w:r>
          </w:p>
        </w:tc>
        <w:tc>
          <w:tcPr>
            <w:tcW w:w="7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0.00</w:t>
            </w:r>
          </w:p>
        </w:tc>
      </w:tr>
      <w:tr>
        <w:tblPrEx>
          <w:tblCellMar>
            <w:top w:w="0" w:type="dxa"/>
            <w:left w:w="0" w:type="dxa"/>
            <w:bottom w:w="0" w:type="dxa"/>
            <w:right w:w="0" w:type="dxa"/>
          </w:tblCellMar>
        </w:tblPrEx>
        <w:trPr>
          <w:trHeight w:val="300" w:hRule="atLeast"/>
          <w:jc w:val="center"/>
        </w:trPr>
        <w:tc>
          <w:tcPr>
            <w:tcW w:w="75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2080505</w:t>
            </w:r>
          </w:p>
        </w:tc>
        <w:tc>
          <w:tcPr>
            <w:tcW w:w="335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机关事业单位基本养老保险缴费支出</w:t>
            </w:r>
          </w:p>
        </w:tc>
        <w:tc>
          <w:tcPr>
            <w:tcW w:w="9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22.07</w:t>
            </w:r>
          </w:p>
        </w:tc>
        <w:tc>
          <w:tcPr>
            <w:tcW w:w="8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22.07</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0.00</w:t>
            </w: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0.00</w:t>
            </w:r>
          </w:p>
        </w:tc>
        <w:tc>
          <w:tcPr>
            <w:tcW w:w="5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0.00</w:t>
            </w:r>
          </w:p>
        </w:tc>
        <w:tc>
          <w:tcPr>
            <w:tcW w:w="7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0.00</w:t>
            </w:r>
          </w:p>
        </w:tc>
      </w:tr>
      <w:tr>
        <w:tblPrEx>
          <w:tblCellMar>
            <w:top w:w="0" w:type="dxa"/>
            <w:left w:w="0" w:type="dxa"/>
            <w:bottom w:w="0" w:type="dxa"/>
            <w:right w:w="0" w:type="dxa"/>
          </w:tblCellMar>
        </w:tblPrEx>
        <w:trPr>
          <w:trHeight w:val="300" w:hRule="atLeast"/>
          <w:jc w:val="center"/>
        </w:trPr>
        <w:tc>
          <w:tcPr>
            <w:tcW w:w="75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20899</w:t>
            </w:r>
          </w:p>
        </w:tc>
        <w:tc>
          <w:tcPr>
            <w:tcW w:w="33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其他社会保障和就业支出</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0.21</w:t>
            </w:r>
          </w:p>
        </w:tc>
        <w:tc>
          <w:tcPr>
            <w:tcW w:w="8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0.21</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7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5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2089999</w:t>
            </w:r>
          </w:p>
        </w:tc>
        <w:tc>
          <w:tcPr>
            <w:tcW w:w="335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其他社会保障和就业支出</w:t>
            </w:r>
          </w:p>
        </w:tc>
        <w:tc>
          <w:tcPr>
            <w:tcW w:w="9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0.21</w:t>
            </w:r>
          </w:p>
        </w:tc>
        <w:tc>
          <w:tcPr>
            <w:tcW w:w="8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0.21</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7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5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210</w:t>
            </w:r>
          </w:p>
        </w:tc>
        <w:tc>
          <w:tcPr>
            <w:tcW w:w="33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卫生健康支出</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398.40</w:t>
            </w:r>
          </w:p>
        </w:tc>
        <w:tc>
          <w:tcPr>
            <w:tcW w:w="8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198.66</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199.74</w:t>
            </w:r>
          </w:p>
        </w:tc>
        <w:tc>
          <w:tcPr>
            <w:tcW w:w="8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7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5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21011</w:t>
            </w:r>
          </w:p>
        </w:tc>
        <w:tc>
          <w:tcPr>
            <w:tcW w:w="33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行政事业单位医疗</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12.70</w:t>
            </w:r>
          </w:p>
        </w:tc>
        <w:tc>
          <w:tcPr>
            <w:tcW w:w="8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12.70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7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5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2101101</w:t>
            </w:r>
          </w:p>
        </w:tc>
        <w:tc>
          <w:tcPr>
            <w:tcW w:w="335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行政单位医疗</w:t>
            </w:r>
          </w:p>
        </w:tc>
        <w:tc>
          <w:tcPr>
            <w:tcW w:w="9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6.24</w:t>
            </w:r>
          </w:p>
        </w:tc>
        <w:tc>
          <w:tcPr>
            <w:tcW w:w="8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6.24</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7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5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2101103</w:t>
            </w:r>
          </w:p>
        </w:tc>
        <w:tc>
          <w:tcPr>
            <w:tcW w:w="335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公务员医疗补助</w:t>
            </w:r>
          </w:p>
        </w:tc>
        <w:tc>
          <w:tcPr>
            <w:tcW w:w="9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6.46</w:t>
            </w:r>
          </w:p>
        </w:tc>
        <w:tc>
          <w:tcPr>
            <w:tcW w:w="8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6.46</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7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5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21015</w:t>
            </w:r>
          </w:p>
        </w:tc>
        <w:tc>
          <w:tcPr>
            <w:tcW w:w="33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医疗保障管理事务</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385.70</w:t>
            </w:r>
          </w:p>
        </w:tc>
        <w:tc>
          <w:tcPr>
            <w:tcW w:w="8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185.96</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199.74</w:t>
            </w:r>
          </w:p>
        </w:tc>
        <w:tc>
          <w:tcPr>
            <w:tcW w:w="8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7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5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2101501</w:t>
            </w:r>
          </w:p>
        </w:tc>
        <w:tc>
          <w:tcPr>
            <w:tcW w:w="335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行政运行</w:t>
            </w:r>
          </w:p>
        </w:tc>
        <w:tc>
          <w:tcPr>
            <w:tcW w:w="9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171.90</w:t>
            </w:r>
          </w:p>
        </w:tc>
        <w:tc>
          <w:tcPr>
            <w:tcW w:w="8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170.96</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0.94</w:t>
            </w: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7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5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2101502</w:t>
            </w:r>
          </w:p>
        </w:tc>
        <w:tc>
          <w:tcPr>
            <w:tcW w:w="335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一般行政管理事务</w:t>
            </w:r>
          </w:p>
        </w:tc>
        <w:tc>
          <w:tcPr>
            <w:tcW w:w="9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141.00</w:t>
            </w:r>
          </w:p>
        </w:tc>
        <w:tc>
          <w:tcPr>
            <w:tcW w:w="8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141.00</w:t>
            </w: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7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5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2101505</w:t>
            </w:r>
          </w:p>
        </w:tc>
        <w:tc>
          <w:tcPr>
            <w:tcW w:w="335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医疗保障政策管理</w:t>
            </w:r>
          </w:p>
        </w:tc>
        <w:tc>
          <w:tcPr>
            <w:tcW w:w="9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24.00</w:t>
            </w:r>
          </w:p>
        </w:tc>
        <w:tc>
          <w:tcPr>
            <w:tcW w:w="8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24.00</w:t>
            </w: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7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5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2101506</w:t>
            </w:r>
          </w:p>
        </w:tc>
        <w:tc>
          <w:tcPr>
            <w:tcW w:w="335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医疗保障经办事务</w:t>
            </w:r>
          </w:p>
        </w:tc>
        <w:tc>
          <w:tcPr>
            <w:tcW w:w="9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21.00</w:t>
            </w:r>
          </w:p>
        </w:tc>
        <w:tc>
          <w:tcPr>
            <w:tcW w:w="8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21.00</w:t>
            </w: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7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5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2101599</w:t>
            </w:r>
          </w:p>
        </w:tc>
        <w:tc>
          <w:tcPr>
            <w:tcW w:w="335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其他医疗保障管理事务支出</w:t>
            </w:r>
          </w:p>
        </w:tc>
        <w:tc>
          <w:tcPr>
            <w:tcW w:w="9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27.80</w:t>
            </w:r>
          </w:p>
        </w:tc>
        <w:tc>
          <w:tcPr>
            <w:tcW w:w="8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15.00</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12.80</w:t>
            </w: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7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5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w:t>
            </w:r>
          </w:p>
        </w:tc>
        <w:tc>
          <w:tcPr>
            <w:tcW w:w="33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住房保障支出</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22.18</w:t>
            </w:r>
          </w:p>
        </w:tc>
        <w:tc>
          <w:tcPr>
            <w:tcW w:w="8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22.18</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7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5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22102</w:t>
            </w:r>
          </w:p>
        </w:tc>
        <w:tc>
          <w:tcPr>
            <w:tcW w:w="33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住房改革支出</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22.18</w:t>
            </w:r>
          </w:p>
        </w:tc>
        <w:tc>
          <w:tcPr>
            <w:tcW w:w="8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22.18</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5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7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5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2210201</w:t>
            </w:r>
          </w:p>
        </w:tc>
        <w:tc>
          <w:tcPr>
            <w:tcW w:w="335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住房公积金</w:t>
            </w:r>
          </w:p>
        </w:tc>
        <w:tc>
          <w:tcPr>
            <w:tcW w:w="9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18.06</w:t>
            </w:r>
          </w:p>
        </w:tc>
        <w:tc>
          <w:tcPr>
            <w:tcW w:w="8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18.06</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7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75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2210202</w:t>
            </w:r>
          </w:p>
        </w:tc>
        <w:tc>
          <w:tcPr>
            <w:tcW w:w="335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提租补贴</w:t>
            </w:r>
          </w:p>
        </w:tc>
        <w:tc>
          <w:tcPr>
            <w:tcW w:w="9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4.12</w:t>
            </w:r>
          </w:p>
        </w:tc>
        <w:tc>
          <w:tcPr>
            <w:tcW w:w="8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4.12</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8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5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7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8929"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注：本表反映部门本年度各项支出情况。</w:t>
            </w:r>
          </w:p>
        </w:tc>
      </w:tr>
      <w:tr>
        <w:tblPrEx>
          <w:tblCellMar>
            <w:top w:w="0" w:type="dxa"/>
            <w:left w:w="0" w:type="dxa"/>
            <w:bottom w:w="0" w:type="dxa"/>
            <w:right w:w="0" w:type="dxa"/>
          </w:tblCellMar>
        </w:tblPrEx>
        <w:trPr>
          <w:trHeight w:val="300" w:hRule="atLeast"/>
          <w:jc w:val="center"/>
        </w:trPr>
        <w:tc>
          <w:tcPr>
            <w:tcW w:w="8929"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1栏各行＝（2＋3＋4＋5＋6）栏各行。</w:t>
            </w:r>
          </w:p>
        </w:tc>
      </w:tr>
    </w:tbl>
    <w:p>
      <w:pPr>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16"/>
        <w:tblW w:w="9141" w:type="dxa"/>
        <w:tblInd w:w="558" w:type="dxa"/>
        <w:shd w:val="clear" w:color="auto" w:fill="auto"/>
        <w:tblLayout w:type="fixed"/>
        <w:tblCellMar>
          <w:top w:w="0" w:type="dxa"/>
          <w:left w:w="0" w:type="dxa"/>
          <w:bottom w:w="0" w:type="dxa"/>
          <w:right w:w="0" w:type="dxa"/>
        </w:tblCellMar>
      </w:tblPr>
      <w:tblGrid>
        <w:gridCol w:w="1686"/>
        <w:gridCol w:w="240"/>
        <w:gridCol w:w="570"/>
        <w:gridCol w:w="2731"/>
        <w:gridCol w:w="434"/>
        <w:gridCol w:w="600"/>
        <w:gridCol w:w="765"/>
        <w:gridCol w:w="1110"/>
        <w:gridCol w:w="1005"/>
      </w:tblGrid>
      <w:tr>
        <w:tblPrEx>
          <w:shd w:val="clear" w:color="auto" w:fill="auto"/>
          <w:tblCellMar>
            <w:top w:w="0" w:type="dxa"/>
            <w:left w:w="0" w:type="dxa"/>
            <w:bottom w:w="0" w:type="dxa"/>
            <w:right w:w="0" w:type="dxa"/>
          </w:tblCellMar>
        </w:tblPrEx>
        <w:trPr>
          <w:trHeight w:val="375" w:hRule="atLeast"/>
        </w:trPr>
        <w:tc>
          <w:tcPr>
            <w:tcW w:w="9141"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rPr>
            </w:pPr>
            <w:r>
              <w:rPr>
                <w:rFonts w:hint="eastAsia" w:ascii="黑体" w:hAnsi="宋体" w:eastAsia="黑体" w:cs="黑体"/>
                <w:i w:val="0"/>
                <w:color w:val="000000"/>
                <w:kern w:val="0"/>
                <w:sz w:val="28"/>
                <w:szCs w:val="28"/>
              </w:rPr>
              <w:t>2023年度财政拨款收入支出决算总表（表4）</w:t>
            </w:r>
          </w:p>
        </w:tc>
      </w:tr>
      <w:tr>
        <w:tblPrEx>
          <w:tblCellMar>
            <w:top w:w="0" w:type="dxa"/>
            <w:left w:w="0" w:type="dxa"/>
            <w:bottom w:w="0" w:type="dxa"/>
            <w:right w:w="0" w:type="dxa"/>
          </w:tblCellMar>
        </w:tblPrEx>
        <w:trPr>
          <w:trHeight w:val="300" w:hRule="atLeast"/>
        </w:trPr>
        <w:tc>
          <w:tcPr>
            <w:tcW w:w="168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57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73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43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6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76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115"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1"/>
                <w:szCs w:val="21"/>
              </w:rPr>
              <w:t>公开04表</w:t>
            </w:r>
          </w:p>
        </w:tc>
      </w:tr>
      <w:tr>
        <w:tblPrEx>
          <w:tblCellMar>
            <w:top w:w="0" w:type="dxa"/>
            <w:left w:w="0" w:type="dxa"/>
            <w:bottom w:w="0" w:type="dxa"/>
            <w:right w:w="0" w:type="dxa"/>
          </w:tblCellMar>
        </w:tblPrEx>
        <w:trPr>
          <w:trHeight w:val="300" w:hRule="atLeast"/>
        </w:trPr>
        <w:tc>
          <w:tcPr>
            <w:tcW w:w="5227"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1"/>
                <w:szCs w:val="21"/>
              </w:rPr>
              <w:t>部门：武汉市蔡甸区医疗保障局（本级）</w:t>
            </w:r>
          </w:p>
        </w:tc>
        <w:tc>
          <w:tcPr>
            <w:tcW w:w="434"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p>
        </w:tc>
        <w:tc>
          <w:tcPr>
            <w:tcW w:w="60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p>
        </w:tc>
        <w:tc>
          <w:tcPr>
            <w:tcW w:w="2115"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1"/>
                <w:szCs w:val="21"/>
              </w:rPr>
              <w:t>金额单位：万元</w:t>
            </w:r>
          </w:p>
        </w:tc>
      </w:tr>
      <w:tr>
        <w:tblPrEx>
          <w:tblCellMar>
            <w:top w:w="0" w:type="dxa"/>
            <w:left w:w="0" w:type="dxa"/>
            <w:bottom w:w="0" w:type="dxa"/>
            <w:right w:w="0" w:type="dxa"/>
          </w:tblCellMar>
        </w:tblPrEx>
        <w:trPr>
          <w:trHeight w:val="300" w:hRule="atLeast"/>
        </w:trPr>
        <w:tc>
          <w:tcPr>
            <w:tcW w:w="2496"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收     入</w:t>
            </w:r>
          </w:p>
        </w:tc>
        <w:tc>
          <w:tcPr>
            <w:tcW w:w="6645"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支     出</w:t>
            </w:r>
          </w:p>
        </w:tc>
      </w:tr>
      <w:tr>
        <w:tblPrEx>
          <w:tblCellMar>
            <w:top w:w="0" w:type="dxa"/>
            <w:left w:w="0" w:type="dxa"/>
            <w:bottom w:w="0" w:type="dxa"/>
            <w:right w:w="0" w:type="dxa"/>
          </w:tblCellMar>
        </w:tblPrEx>
        <w:trPr>
          <w:trHeight w:val="285" w:hRule="atLeast"/>
        </w:trPr>
        <w:tc>
          <w:tcPr>
            <w:tcW w:w="1686"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项目</w:t>
            </w:r>
          </w:p>
        </w:tc>
        <w:tc>
          <w:tcPr>
            <w:tcW w:w="24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行次</w:t>
            </w:r>
          </w:p>
        </w:tc>
        <w:tc>
          <w:tcPr>
            <w:tcW w:w="5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决算数</w:t>
            </w:r>
          </w:p>
        </w:tc>
        <w:tc>
          <w:tcPr>
            <w:tcW w:w="273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项目</w:t>
            </w:r>
          </w:p>
        </w:tc>
        <w:tc>
          <w:tcPr>
            <w:tcW w:w="43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行次</w:t>
            </w:r>
          </w:p>
        </w:tc>
        <w:tc>
          <w:tcPr>
            <w:tcW w:w="348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决算数</w:t>
            </w:r>
          </w:p>
        </w:tc>
      </w:tr>
      <w:tr>
        <w:tblPrEx>
          <w:tblCellMar>
            <w:top w:w="0" w:type="dxa"/>
            <w:left w:w="0" w:type="dxa"/>
            <w:bottom w:w="0" w:type="dxa"/>
            <w:right w:w="0" w:type="dxa"/>
          </w:tblCellMar>
        </w:tblPrEx>
        <w:trPr>
          <w:trHeight w:val="595" w:hRule="atLeast"/>
        </w:trPr>
        <w:tc>
          <w:tcPr>
            <w:tcW w:w="1686"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24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5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273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rPr>
                <w:rFonts w:hint="default" w:ascii="Times New Roman" w:hAnsi="Times New Roman" w:cs="Times New Roman"/>
                <w:sz w:val="20"/>
                <w:szCs w:val="20"/>
              </w:rPr>
            </w:pPr>
          </w:p>
        </w:tc>
        <w:tc>
          <w:tcPr>
            <w:tcW w:w="43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合计</w:t>
            </w:r>
          </w:p>
        </w:tc>
        <w:tc>
          <w:tcPr>
            <w:tcW w:w="76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一般公共预算财政拨款</w:t>
            </w:r>
          </w:p>
        </w:tc>
        <w:tc>
          <w:tcPr>
            <w:tcW w:w="11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政府性基金预算财政拨款</w:t>
            </w:r>
          </w:p>
        </w:tc>
        <w:tc>
          <w:tcPr>
            <w:tcW w:w="10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国有资本经营预算财政拨款</w:t>
            </w:r>
          </w:p>
        </w:tc>
      </w:tr>
      <w:tr>
        <w:tblPrEx>
          <w:tblCellMar>
            <w:top w:w="0" w:type="dxa"/>
            <w:left w:w="0" w:type="dxa"/>
            <w:bottom w:w="0" w:type="dxa"/>
            <w:right w:w="0" w:type="dxa"/>
          </w:tblCellMar>
        </w:tblPrEx>
        <w:trPr>
          <w:trHeight w:val="300"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栏次</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w:t>
            </w: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栏次</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w:t>
            </w:r>
          </w:p>
        </w:tc>
        <w:tc>
          <w:tcPr>
            <w:tcW w:w="7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w:t>
            </w:r>
          </w:p>
        </w:tc>
        <w:tc>
          <w:tcPr>
            <w:tcW w:w="11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w:t>
            </w:r>
          </w:p>
        </w:tc>
        <w:tc>
          <w:tcPr>
            <w:tcW w:w="10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w:t>
            </w:r>
          </w:p>
        </w:tc>
      </w:tr>
      <w:tr>
        <w:tblPrEx>
          <w:tblCellMar>
            <w:top w:w="0" w:type="dxa"/>
            <w:left w:w="0" w:type="dxa"/>
            <w:bottom w:w="0" w:type="dxa"/>
            <w:right w:w="0" w:type="dxa"/>
          </w:tblCellMar>
        </w:tblPrEx>
        <w:trPr>
          <w:trHeight w:val="300"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bookmarkStart w:id="7" w:name="OLE_LINK1"/>
            <w:r>
              <w:rPr>
                <w:rFonts w:hint="eastAsia" w:ascii="宋体" w:hAnsi="宋体" w:eastAsia="宋体" w:cs="宋体"/>
                <w:i w:val="0"/>
                <w:color w:val="000000"/>
                <w:kern w:val="0"/>
                <w:sz w:val="18"/>
                <w:szCs w:val="18"/>
              </w:rPr>
              <w:t>一、一般公共预算财政拨款</w:t>
            </w:r>
            <w:bookmarkEnd w:id="7"/>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442.86</w:t>
            </w: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一、一般公共服务支出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33</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31"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二、政府性基金预算财政拨款</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二、外交支出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34</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三、国有资本经营预算财政拨款</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三、国防支出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35</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270"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四、公共安全支出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36</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285"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五、教育支出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37</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285"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六、科学技术支出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38</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255"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7</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七、文化旅游体育与传媒支出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39</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195"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8</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八、社会保障和就业支出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40</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22.28</w:t>
            </w: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22.28</w:t>
            </w: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270"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9</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九、卫生健康支出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41</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398.40</w:t>
            </w: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398.40</w:t>
            </w: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210"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十、节能环保支出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42</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225"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11</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十一、城乡社区支出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43</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225"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十二、农林水支出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44</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180"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13</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十三、交通运输支出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45</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195"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14</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十四、资源勘探工业信息等支出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46</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210"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15</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十五、商业服务业等支出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47</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90"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16</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十六、金融支出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48</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195"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17</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十七、援助其他地区支出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49</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90"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18</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十八、自然资源海洋气象等支出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50</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225"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19</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十九、住房保障支出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51</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22.18</w:t>
            </w: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22.18</w:t>
            </w: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135"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20</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二十、粮油物资储备支出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52</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255"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21</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二十一、国有资本经营预算支出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53</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286"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22</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二十二、灾害防治及应急管理支出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54</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23</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二十三、其他支出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55</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90"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24</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二十四、债务还本支出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56</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150"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25</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二十五、债务付息支出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57</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210"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26</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二十六、抗疫特别国债安排的支出</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58</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本年收入合计</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27</w:t>
            </w:r>
          </w:p>
        </w:tc>
        <w:tc>
          <w:tcPr>
            <w:tcW w:w="57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442.86</w:t>
            </w: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本年支出合计</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59</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442.86</w:t>
            </w: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442.86</w:t>
            </w: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16"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年初财政拨款结转和结余</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28</w:t>
            </w:r>
          </w:p>
        </w:tc>
        <w:tc>
          <w:tcPr>
            <w:tcW w:w="57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年末财政拨款结转和结余</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60</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91"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一般公共预算财政拨款</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29</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61</w:t>
            </w:r>
          </w:p>
        </w:tc>
        <w:tc>
          <w:tcPr>
            <w:tcW w:w="6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256"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政府性基金预算财政拨款</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62</w:t>
            </w:r>
          </w:p>
        </w:tc>
        <w:tc>
          <w:tcPr>
            <w:tcW w:w="6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国有资本经营预算财政拨款</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31</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63</w:t>
            </w:r>
          </w:p>
        </w:tc>
        <w:tc>
          <w:tcPr>
            <w:tcW w:w="6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trPr>
        <w:tc>
          <w:tcPr>
            <w:tcW w:w="16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总计</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32</w:t>
            </w:r>
          </w:p>
        </w:tc>
        <w:tc>
          <w:tcPr>
            <w:tcW w:w="57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442.86</w:t>
            </w:r>
          </w:p>
        </w:tc>
        <w:tc>
          <w:tcPr>
            <w:tcW w:w="27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总计</w:t>
            </w:r>
          </w:p>
        </w:tc>
        <w:tc>
          <w:tcPr>
            <w:tcW w:w="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64</w:t>
            </w:r>
          </w:p>
        </w:tc>
        <w:tc>
          <w:tcPr>
            <w:tcW w:w="6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442.86</w:t>
            </w: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442.86</w:t>
            </w:r>
          </w:p>
        </w:tc>
        <w:tc>
          <w:tcPr>
            <w:tcW w:w="11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10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trPr>
        <w:tc>
          <w:tcPr>
            <w:tcW w:w="8136"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注：本表反映部门本年度一般公共预算财政拨款、政府性基金预算财政拨款和国有资本经营预算财政拨款的总收支和年末结转结余情况。</w:t>
            </w:r>
          </w:p>
        </w:tc>
        <w:tc>
          <w:tcPr>
            <w:tcW w:w="100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trPr>
        <w:tc>
          <w:tcPr>
            <w:tcW w:w="8136"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27行＝（1＋2+3）行；28行＝（29＋30+31）行；32行＝（27＋28）行；</w:t>
            </w:r>
          </w:p>
        </w:tc>
        <w:tc>
          <w:tcPr>
            <w:tcW w:w="100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trPr>
        <w:tc>
          <w:tcPr>
            <w:tcW w:w="8136"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59行＝（33＋34＋…＋58）行；64行＝（59＋60）行。</w:t>
            </w:r>
          </w:p>
        </w:tc>
        <w:tc>
          <w:tcPr>
            <w:tcW w:w="100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bl>
    <w:p>
      <w:pPr>
        <w:keepNext w:val="0"/>
        <w:keepLines w:val="0"/>
        <w:widowControl/>
        <w:suppressLineNumbers w:val="0"/>
        <w:autoSpaceDE w:val="0"/>
        <w:autoSpaceDN/>
        <w:snapToGrid w:val="0"/>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16"/>
        <w:tblW w:w="7927" w:type="dxa"/>
        <w:jc w:val="center"/>
        <w:shd w:val="clear" w:color="auto" w:fill="auto"/>
        <w:tblLayout w:type="fixed"/>
        <w:tblCellMar>
          <w:top w:w="0" w:type="dxa"/>
          <w:left w:w="0" w:type="dxa"/>
          <w:bottom w:w="0" w:type="dxa"/>
          <w:right w:w="0" w:type="dxa"/>
        </w:tblCellMar>
      </w:tblPr>
      <w:tblGrid>
        <w:gridCol w:w="756"/>
        <w:gridCol w:w="825"/>
        <w:gridCol w:w="780"/>
        <w:gridCol w:w="3200"/>
        <w:gridCol w:w="866"/>
        <w:gridCol w:w="767"/>
        <w:gridCol w:w="733"/>
      </w:tblGrid>
      <w:tr>
        <w:tblPrEx>
          <w:shd w:val="clear" w:color="auto" w:fill="auto"/>
          <w:tblCellMar>
            <w:top w:w="0" w:type="dxa"/>
            <w:left w:w="0" w:type="dxa"/>
            <w:bottom w:w="0" w:type="dxa"/>
            <w:right w:w="0" w:type="dxa"/>
          </w:tblCellMar>
        </w:tblPrEx>
        <w:trPr>
          <w:trHeight w:val="375" w:hRule="atLeast"/>
          <w:jc w:val="center"/>
        </w:trPr>
        <w:tc>
          <w:tcPr>
            <w:tcW w:w="7927"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autoSpaceDE w:val="0"/>
              <w:autoSpaceDN/>
              <w:jc w:val="center"/>
              <w:textAlignment w:val="center"/>
              <w:rPr>
                <w:rFonts w:hint="eastAsia" w:ascii="黑体" w:hAnsi="宋体" w:eastAsia="黑体" w:cs="黑体"/>
                <w:i w:val="0"/>
                <w:color w:val="000000"/>
                <w:kern w:val="0"/>
                <w:sz w:val="28"/>
                <w:szCs w:val="28"/>
              </w:rPr>
            </w:pPr>
            <w:r>
              <w:rPr>
                <w:rFonts w:hint="eastAsia" w:ascii="黑体" w:hAnsi="宋体" w:eastAsia="黑体" w:cs="黑体"/>
                <w:i w:val="0"/>
                <w:color w:val="000000"/>
                <w:kern w:val="0"/>
                <w:sz w:val="28"/>
                <w:szCs w:val="28"/>
              </w:rPr>
              <w:t>2023年度一般公共预算财政拨款支出决算表（表5）</w:t>
            </w:r>
          </w:p>
        </w:tc>
      </w:tr>
      <w:tr>
        <w:tblPrEx>
          <w:tblCellMar>
            <w:top w:w="0" w:type="dxa"/>
            <w:left w:w="0" w:type="dxa"/>
            <w:bottom w:w="0" w:type="dxa"/>
            <w:right w:w="0" w:type="dxa"/>
          </w:tblCellMar>
        </w:tblPrEx>
        <w:trPr>
          <w:trHeight w:val="300" w:hRule="atLeast"/>
          <w:jc w:val="center"/>
        </w:trPr>
        <w:tc>
          <w:tcPr>
            <w:tcW w:w="756"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autoSpaceDE w:val="0"/>
              <w:autoSpaceDN/>
              <w:jc w:val="left"/>
              <w:rPr>
                <w:rFonts w:hint="eastAsia" w:ascii="宋体" w:hAnsi="宋体" w:eastAsia="宋体" w:cs="宋体"/>
                <w:i w:val="0"/>
                <w:color w:val="000000"/>
                <w:kern w:val="0"/>
                <w:sz w:val="16"/>
                <w:szCs w:val="16"/>
              </w:rPr>
            </w:pPr>
            <w:bookmarkStart w:id="8" w:name="OLE_LINK2"/>
            <w:bookmarkEnd w:id="8"/>
          </w:p>
        </w:tc>
        <w:tc>
          <w:tcPr>
            <w:tcW w:w="825"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autoSpaceDE w:val="0"/>
              <w:autoSpaceDN/>
              <w:jc w:val="left"/>
              <w:rPr>
                <w:rFonts w:hint="eastAsia" w:ascii="宋体" w:hAnsi="宋体" w:eastAsia="宋体" w:cs="宋体"/>
                <w:i w:val="0"/>
                <w:color w:val="000000"/>
                <w:kern w:val="0"/>
                <w:sz w:val="16"/>
                <w:szCs w:val="16"/>
              </w:rPr>
            </w:pPr>
          </w:p>
        </w:tc>
        <w:tc>
          <w:tcPr>
            <w:tcW w:w="78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autoSpaceDE w:val="0"/>
              <w:autoSpaceDN/>
              <w:jc w:val="left"/>
              <w:rPr>
                <w:rFonts w:hint="eastAsia" w:ascii="宋体" w:hAnsi="宋体" w:eastAsia="宋体" w:cs="宋体"/>
                <w:i w:val="0"/>
                <w:color w:val="000000"/>
                <w:kern w:val="0"/>
                <w:sz w:val="16"/>
                <w:szCs w:val="16"/>
              </w:rPr>
            </w:pPr>
          </w:p>
        </w:tc>
        <w:tc>
          <w:tcPr>
            <w:tcW w:w="320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autoSpaceDE w:val="0"/>
              <w:autoSpaceDN/>
              <w:jc w:val="left"/>
              <w:rPr>
                <w:rFonts w:hint="eastAsia" w:ascii="宋体" w:hAnsi="宋体" w:eastAsia="宋体" w:cs="宋体"/>
                <w:i w:val="0"/>
                <w:color w:val="000000"/>
                <w:kern w:val="0"/>
                <w:sz w:val="16"/>
                <w:szCs w:val="16"/>
              </w:rPr>
            </w:pPr>
          </w:p>
        </w:tc>
        <w:tc>
          <w:tcPr>
            <w:tcW w:w="866"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autoSpaceDE w:val="0"/>
              <w:autoSpaceDN/>
              <w:jc w:val="left"/>
              <w:rPr>
                <w:rFonts w:hint="eastAsia" w:ascii="宋体" w:hAnsi="宋体" w:eastAsia="宋体" w:cs="宋体"/>
                <w:i w:val="0"/>
                <w:color w:val="000000"/>
                <w:kern w:val="0"/>
                <w:sz w:val="16"/>
                <w:szCs w:val="16"/>
              </w:rPr>
            </w:pPr>
          </w:p>
        </w:tc>
        <w:tc>
          <w:tcPr>
            <w:tcW w:w="1500"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rPr>
              <w:t>公开05表</w:t>
            </w:r>
          </w:p>
        </w:tc>
      </w:tr>
      <w:tr>
        <w:tblPrEx>
          <w:tblCellMar>
            <w:top w:w="0" w:type="dxa"/>
            <w:left w:w="0" w:type="dxa"/>
            <w:bottom w:w="0" w:type="dxa"/>
            <w:right w:w="0" w:type="dxa"/>
          </w:tblCellMar>
        </w:tblPrEx>
        <w:trPr>
          <w:trHeight w:val="300" w:hRule="atLeast"/>
          <w:jc w:val="center"/>
        </w:trPr>
        <w:tc>
          <w:tcPr>
            <w:tcW w:w="5561"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rPr>
              <w:t>部门：武汉市蔡甸区医疗保障局（本级）</w:t>
            </w:r>
          </w:p>
        </w:tc>
        <w:tc>
          <w:tcPr>
            <w:tcW w:w="866"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autoSpaceDE w:val="0"/>
              <w:autoSpaceDN/>
              <w:jc w:val="center"/>
              <w:rPr>
                <w:rFonts w:hint="eastAsia" w:ascii="宋体" w:hAnsi="宋体" w:eastAsia="宋体" w:cs="宋体"/>
                <w:i w:val="0"/>
                <w:color w:val="000000"/>
                <w:kern w:val="0"/>
                <w:sz w:val="16"/>
                <w:szCs w:val="16"/>
              </w:rPr>
            </w:pPr>
          </w:p>
        </w:tc>
        <w:tc>
          <w:tcPr>
            <w:tcW w:w="150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autoSpaceDE w:val="0"/>
              <w:autoSpaceDN/>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rPr>
              <w:t>金额单位：万元</w:t>
            </w:r>
          </w:p>
        </w:tc>
      </w:tr>
      <w:tr>
        <w:tblPrEx>
          <w:tblCellMar>
            <w:top w:w="0" w:type="dxa"/>
            <w:left w:w="0" w:type="dxa"/>
            <w:bottom w:w="0" w:type="dxa"/>
            <w:right w:w="0" w:type="dxa"/>
          </w:tblCellMar>
        </w:tblPrEx>
        <w:trPr>
          <w:trHeight w:val="300" w:hRule="atLeast"/>
          <w:jc w:val="center"/>
        </w:trPr>
        <w:tc>
          <w:tcPr>
            <w:tcW w:w="5561"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both"/>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项目</w:t>
            </w:r>
          </w:p>
        </w:tc>
        <w:tc>
          <w:tcPr>
            <w:tcW w:w="2366"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本年支出</w:t>
            </w:r>
          </w:p>
        </w:tc>
      </w:tr>
      <w:tr>
        <w:tblPrEx>
          <w:tblCellMar>
            <w:top w:w="0" w:type="dxa"/>
            <w:left w:w="0" w:type="dxa"/>
            <w:bottom w:w="0" w:type="dxa"/>
            <w:right w:w="0" w:type="dxa"/>
          </w:tblCellMar>
        </w:tblPrEx>
        <w:trPr>
          <w:trHeight w:val="300" w:hRule="atLeast"/>
          <w:jc w:val="center"/>
        </w:trPr>
        <w:tc>
          <w:tcPr>
            <w:tcW w:w="2361"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功能分类</w:t>
            </w:r>
            <w:r>
              <w:rPr>
                <w:rFonts w:hint="eastAsia" w:ascii="宋体" w:hAnsi="宋体" w:eastAsia="宋体" w:cs="宋体"/>
                <w:i w:val="0"/>
                <w:color w:val="000000"/>
                <w:kern w:val="0"/>
                <w:sz w:val="18"/>
                <w:szCs w:val="18"/>
              </w:rPr>
              <w:br w:type="textWrapping"/>
            </w:r>
            <w:r>
              <w:rPr>
                <w:rFonts w:hint="eastAsia" w:ascii="宋体" w:hAnsi="宋体" w:eastAsia="宋体" w:cs="宋体"/>
                <w:i w:val="0"/>
                <w:color w:val="000000"/>
                <w:kern w:val="0"/>
                <w:sz w:val="18"/>
                <w:szCs w:val="18"/>
              </w:rPr>
              <w:t>科目编码</w:t>
            </w:r>
          </w:p>
        </w:tc>
        <w:tc>
          <w:tcPr>
            <w:tcW w:w="3200"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科目名称</w:t>
            </w:r>
          </w:p>
        </w:tc>
        <w:tc>
          <w:tcPr>
            <w:tcW w:w="86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小计</w:t>
            </w:r>
          </w:p>
        </w:tc>
        <w:tc>
          <w:tcPr>
            <w:tcW w:w="76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基本支出</w:t>
            </w:r>
          </w:p>
        </w:tc>
        <w:tc>
          <w:tcPr>
            <w:tcW w:w="73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项目支出</w:t>
            </w:r>
          </w:p>
        </w:tc>
      </w:tr>
      <w:tr>
        <w:tblPrEx>
          <w:tblCellMar>
            <w:top w:w="0" w:type="dxa"/>
            <w:left w:w="0" w:type="dxa"/>
            <w:bottom w:w="0" w:type="dxa"/>
            <w:right w:w="0" w:type="dxa"/>
          </w:tblCellMar>
        </w:tblPrEx>
        <w:trPr>
          <w:trHeight w:val="270" w:hRule="atLeast"/>
          <w:jc w:val="center"/>
        </w:trPr>
        <w:tc>
          <w:tcPr>
            <w:tcW w:w="2361"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320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86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76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73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312" w:hRule="atLeast"/>
          <w:jc w:val="center"/>
        </w:trPr>
        <w:tc>
          <w:tcPr>
            <w:tcW w:w="2361"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320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86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76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73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300" w:hRule="atLeast"/>
          <w:jc w:val="center"/>
        </w:trPr>
        <w:tc>
          <w:tcPr>
            <w:tcW w:w="756" w:type="dxa"/>
            <w:vMerge w:val="restar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类</w:t>
            </w:r>
          </w:p>
        </w:tc>
        <w:tc>
          <w:tcPr>
            <w:tcW w:w="825"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款</w:t>
            </w:r>
          </w:p>
        </w:tc>
        <w:tc>
          <w:tcPr>
            <w:tcW w:w="780"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项</w:t>
            </w:r>
          </w:p>
        </w:tc>
        <w:tc>
          <w:tcPr>
            <w:tcW w:w="32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栏次</w:t>
            </w:r>
          </w:p>
        </w:tc>
        <w:tc>
          <w:tcPr>
            <w:tcW w:w="8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w:t>
            </w:r>
          </w:p>
        </w:tc>
        <w:tc>
          <w:tcPr>
            <w:tcW w:w="76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w:t>
            </w:r>
          </w:p>
        </w:tc>
      </w:tr>
      <w:tr>
        <w:tblPrEx>
          <w:tblCellMar>
            <w:top w:w="0" w:type="dxa"/>
            <w:left w:w="0" w:type="dxa"/>
            <w:bottom w:w="0" w:type="dxa"/>
            <w:right w:w="0" w:type="dxa"/>
          </w:tblCellMar>
        </w:tblPrEx>
        <w:trPr>
          <w:trHeight w:val="300" w:hRule="atLeast"/>
          <w:jc w:val="center"/>
        </w:trPr>
        <w:tc>
          <w:tcPr>
            <w:tcW w:w="756" w:type="dxa"/>
            <w:vMerge w:val="continue"/>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825"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78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32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both"/>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合计</w:t>
            </w:r>
          </w:p>
        </w:tc>
        <w:tc>
          <w:tcPr>
            <w:tcW w:w="86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442.85</w:t>
            </w:r>
          </w:p>
        </w:tc>
        <w:tc>
          <w:tcPr>
            <w:tcW w:w="767"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243.12</w:t>
            </w:r>
          </w:p>
        </w:tc>
        <w:tc>
          <w:tcPr>
            <w:tcW w:w="733"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199.74</w:t>
            </w:r>
          </w:p>
        </w:tc>
      </w:tr>
      <w:tr>
        <w:tblPrEx>
          <w:tblCellMar>
            <w:top w:w="0" w:type="dxa"/>
            <w:left w:w="0" w:type="dxa"/>
            <w:bottom w:w="0" w:type="dxa"/>
            <w:right w:w="0" w:type="dxa"/>
          </w:tblCellMar>
        </w:tblPrEx>
        <w:trPr>
          <w:trHeight w:val="300" w:hRule="atLeast"/>
          <w:jc w:val="center"/>
        </w:trPr>
        <w:tc>
          <w:tcPr>
            <w:tcW w:w="236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208</w:t>
            </w:r>
          </w:p>
        </w:tc>
        <w:tc>
          <w:tcPr>
            <w:tcW w:w="32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社会保障和就业支出</w:t>
            </w:r>
          </w:p>
        </w:tc>
        <w:tc>
          <w:tcPr>
            <w:tcW w:w="8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22.28</w:t>
            </w:r>
          </w:p>
        </w:tc>
        <w:tc>
          <w:tcPr>
            <w:tcW w:w="76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22.28</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rPr>
                <w:rFonts w:hint="eastAsia" w:ascii="宋体" w:hAnsi="宋体" w:eastAsia="宋体" w:cs="宋体"/>
                <w:b/>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236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20805</w:t>
            </w:r>
          </w:p>
        </w:tc>
        <w:tc>
          <w:tcPr>
            <w:tcW w:w="32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行政事业单位养老支出</w:t>
            </w:r>
          </w:p>
        </w:tc>
        <w:tc>
          <w:tcPr>
            <w:tcW w:w="8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22.07</w:t>
            </w:r>
          </w:p>
        </w:tc>
        <w:tc>
          <w:tcPr>
            <w:tcW w:w="76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22.07</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rPr>
                <w:rFonts w:hint="eastAsia" w:ascii="宋体" w:hAnsi="宋体" w:eastAsia="宋体" w:cs="宋体"/>
                <w:b/>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236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2080505</w:t>
            </w:r>
          </w:p>
        </w:tc>
        <w:tc>
          <w:tcPr>
            <w:tcW w:w="320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机关事业单位基本养老保险缴费支出</w:t>
            </w:r>
          </w:p>
        </w:tc>
        <w:tc>
          <w:tcPr>
            <w:tcW w:w="86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22.07</w:t>
            </w:r>
          </w:p>
        </w:tc>
        <w:tc>
          <w:tcPr>
            <w:tcW w:w="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22.07</w:t>
            </w:r>
          </w:p>
        </w:tc>
        <w:tc>
          <w:tcPr>
            <w:tcW w:w="73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236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20899</w:t>
            </w:r>
          </w:p>
        </w:tc>
        <w:tc>
          <w:tcPr>
            <w:tcW w:w="32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其他社会保障和就业支出</w:t>
            </w:r>
          </w:p>
        </w:tc>
        <w:tc>
          <w:tcPr>
            <w:tcW w:w="8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0.21</w:t>
            </w:r>
          </w:p>
        </w:tc>
        <w:tc>
          <w:tcPr>
            <w:tcW w:w="76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0.21</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rPr>
                <w:rFonts w:hint="eastAsia" w:ascii="宋体" w:hAnsi="宋体" w:eastAsia="宋体" w:cs="宋体"/>
                <w:b/>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236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2089999</w:t>
            </w:r>
          </w:p>
        </w:tc>
        <w:tc>
          <w:tcPr>
            <w:tcW w:w="320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其他社会保障和就业支出</w:t>
            </w:r>
          </w:p>
        </w:tc>
        <w:tc>
          <w:tcPr>
            <w:tcW w:w="86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0.21</w:t>
            </w:r>
          </w:p>
        </w:tc>
        <w:tc>
          <w:tcPr>
            <w:tcW w:w="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0.21</w:t>
            </w:r>
          </w:p>
        </w:tc>
        <w:tc>
          <w:tcPr>
            <w:tcW w:w="73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90" w:hRule="atLeast"/>
          <w:jc w:val="center"/>
        </w:trPr>
        <w:tc>
          <w:tcPr>
            <w:tcW w:w="236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210</w:t>
            </w:r>
          </w:p>
        </w:tc>
        <w:tc>
          <w:tcPr>
            <w:tcW w:w="32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卫生健康支出</w:t>
            </w:r>
          </w:p>
        </w:tc>
        <w:tc>
          <w:tcPr>
            <w:tcW w:w="8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398.40</w:t>
            </w:r>
          </w:p>
        </w:tc>
        <w:tc>
          <w:tcPr>
            <w:tcW w:w="76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198.66</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199.74</w:t>
            </w:r>
          </w:p>
        </w:tc>
      </w:tr>
      <w:tr>
        <w:tblPrEx>
          <w:tblCellMar>
            <w:top w:w="0" w:type="dxa"/>
            <w:left w:w="0" w:type="dxa"/>
            <w:bottom w:w="0" w:type="dxa"/>
            <w:right w:w="0" w:type="dxa"/>
          </w:tblCellMar>
        </w:tblPrEx>
        <w:trPr>
          <w:trHeight w:val="300" w:hRule="atLeast"/>
          <w:jc w:val="center"/>
        </w:trPr>
        <w:tc>
          <w:tcPr>
            <w:tcW w:w="236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21011</w:t>
            </w:r>
          </w:p>
        </w:tc>
        <w:tc>
          <w:tcPr>
            <w:tcW w:w="32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行政事业单位医疗</w:t>
            </w:r>
          </w:p>
        </w:tc>
        <w:tc>
          <w:tcPr>
            <w:tcW w:w="8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12.70</w:t>
            </w:r>
          </w:p>
        </w:tc>
        <w:tc>
          <w:tcPr>
            <w:tcW w:w="76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12.70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rPr>
                <w:rFonts w:hint="eastAsia" w:ascii="宋体" w:hAnsi="宋体" w:eastAsia="宋体" w:cs="宋体"/>
                <w:b/>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236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2101101</w:t>
            </w:r>
          </w:p>
        </w:tc>
        <w:tc>
          <w:tcPr>
            <w:tcW w:w="320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行政单位医疗</w:t>
            </w:r>
          </w:p>
        </w:tc>
        <w:tc>
          <w:tcPr>
            <w:tcW w:w="86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6.24</w:t>
            </w:r>
          </w:p>
        </w:tc>
        <w:tc>
          <w:tcPr>
            <w:tcW w:w="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6.24</w:t>
            </w:r>
          </w:p>
        </w:tc>
        <w:tc>
          <w:tcPr>
            <w:tcW w:w="73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236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2101103</w:t>
            </w:r>
          </w:p>
        </w:tc>
        <w:tc>
          <w:tcPr>
            <w:tcW w:w="320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公务员医疗补助</w:t>
            </w:r>
          </w:p>
        </w:tc>
        <w:tc>
          <w:tcPr>
            <w:tcW w:w="86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6.46</w:t>
            </w:r>
          </w:p>
        </w:tc>
        <w:tc>
          <w:tcPr>
            <w:tcW w:w="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6.46</w:t>
            </w:r>
          </w:p>
        </w:tc>
        <w:tc>
          <w:tcPr>
            <w:tcW w:w="73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236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21015</w:t>
            </w:r>
          </w:p>
        </w:tc>
        <w:tc>
          <w:tcPr>
            <w:tcW w:w="32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医疗保障管理事务</w:t>
            </w:r>
          </w:p>
        </w:tc>
        <w:tc>
          <w:tcPr>
            <w:tcW w:w="8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385.70</w:t>
            </w:r>
          </w:p>
        </w:tc>
        <w:tc>
          <w:tcPr>
            <w:tcW w:w="76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185.96</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199.74</w:t>
            </w:r>
          </w:p>
        </w:tc>
      </w:tr>
      <w:tr>
        <w:tblPrEx>
          <w:tblCellMar>
            <w:top w:w="0" w:type="dxa"/>
            <w:left w:w="0" w:type="dxa"/>
            <w:bottom w:w="0" w:type="dxa"/>
            <w:right w:w="0" w:type="dxa"/>
          </w:tblCellMar>
        </w:tblPrEx>
        <w:trPr>
          <w:trHeight w:val="300" w:hRule="atLeast"/>
          <w:jc w:val="center"/>
        </w:trPr>
        <w:tc>
          <w:tcPr>
            <w:tcW w:w="236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2101501</w:t>
            </w:r>
          </w:p>
        </w:tc>
        <w:tc>
          <w:tcPr>
            <w:tcW w:w="320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行政运行</w:t>
            </w:r>
          </w:p>
        </w:tc>
        <w:tc>
          <w:tcPr>
            <w:tcW w:w="86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171.90</w:t>
            </w:r>
          </w:p>
        </w:tc>
        <w:tc>
          <w:tcPr>
            <w:tcW w:w="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170.96</w:t>
            </w:r>
          </w:p>
        </w:tc>
        <w:tc>
          <w:tcPr>
            <w:tcW w:w="73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0.94</w:t>
            </w:r>
          </w:p>
        </w:tc>
      </w:tr>
      <w:tr>
        <w:tblPrEx>
          <w:tblCellMar>
            <w:top w:w="0" w:type="dxa"/>
            <w:left w:w="0" w:type="dxa"/>
            <w:bottom w:w="0" w:type="dxa"/>
            <w:right w:w="0" w:type="dxa"/>
          </w:tblCellMar>
        </w:tblPrEx>
        <w:trPr>
          <w:trHeight w:val="300" w:hRule="atLeast"/>
          <w:jc w:val="center"/>
        </w:trPr>
        <w:tc>
          <w:tcPr>
            <w:tcW w:w="236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2101502</w:t>
            </w:r>
          </w:p>
        </w:tc>
        <w:tc>
          <w:tcPr>
            <w:tcW w:w="320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一般行政管理事务</w:t>
            </w:r>
          </w:p>
        </w:tc>
        <w:tc>
          <w:tcPr>
            <w:tcW w:w="86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141.00</w:t>
            </w:r>
          </w:p>
        </w:tc>
        <w:tc>
          <w:tcPr>
            <w:tcW w:w="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rPr>
                <w:rFonts w:hint="eastAsia" w:ascii="宋体" w:hAnsi="宋体" w:eastAsia="宋体" w:cs="宋体"/>
                <w:i w:val="0"/>
                <w:color w:val="000000"/>
                <w:kern w:val="0"/>
                <w:sz w:val="18"/>
                <w:szCs w:val="18"/>
              </w:rPr>
            </w:pPr>
          </w:p>
        </w:tc>
        <w:tc>
          <w:tcPr>
            <w:tcW w:w="73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141.00</w:t>
            </w:r>
          </w:p>
        </w:tc>
      </w:tr>
      <w:tr>
        <w:tblPrEx>
          <w:tblCellMar>
            <w:top w:w="0" w:type="dxa"/>
            <w:left w:w="0" w:type="dxa"/>
            <w:bottom w:w="0" w:type="dxa"/>
            <w:right w:w="0" w:type="dxa"/>
          </w:tblCellMar>
        </w:tblPrEx>
        <w:trPr>
          <w:trHeight w:val="300" w:hRule="atLeast"/>
          <w:jc w:val="center"/>
        </w:trPr>
        <w:tc>
          <w:tcPr>
            <w:tcW w:w="236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2101505</w:t>
            </w:r>
          </w:p>
        </w:tc>
        <w:tc>
          <w:tcPr>
            <w:tcW w:w="320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医疗保障政策管理</w:t>
            </w:r>
          </w:p>
        </w:tc>
        <w:tc>
          <w:tcPr>
            <w:tcW w:w="86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24.00</w:t>
            </w:r>
          </w:p>
        </w:tc>
        <w:tc>
          <w:tcPr>
            <w:tcW w:w="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rPr>
                <w:rFonts w:hint="eastAsia" w:ascii="宋体" w:hAnsi="宋体" w:eastAsia="宋体" w:cs="宋体"/>
                <w:i w:val="0"/>
                <w:color w:val="000000"/>
                <w:kern w:val="0"/>
                <w:sz w:val="18"/>
                <w:szCs w:val="18"/>
              </w:rPr>
            </w:pPr>
          </w:p>
        </w:tc>
        <w:tc>
          <w:tcPr>
            <w:tcW w:w="73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24.00</w:t>
            </w:r>
          </w:p>
        </w:tc>
      </w:tr>
      <w:tr>
        <w:tblPrEx>
          <w:tblCellMar>
            <w:top w:w="0" w:type="dxa"/>
            <w:left w:w="0" w:type="dxa"/>
            <w:bottom w:w="0" w:type="dxa"/>
            <w:right w:w="0" w:type="dxa"/>
          </w:tblCellMar>
        </w:tblPrEx>
        <w:trPr>
          <w:trHeight w:val="300" w:hRule="atLeast"/>
          <w:jc w:val="center"/>
        </w:trPr>
        <w:tc>
          <w:tcPr>
            <w:tcW w:w="236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2101506</w:t>
            </w:r>
          </w:p>
        </w:tc>
        <w:tc>
          <w:tcPr>
            <w:tcW w:w="320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医疗保障经办事务</w:t>
            </w:r>
          </w:p>
        </w:tc>
        <w:tc>
          <w:tcPr>
            <w:tcW w:w="86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21.00</w:t>
            </w:r>
          </w:p>
        </w:tc>
        <w:tc>
          <w:tcPr>
            <w:tcW w:w="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rPr>
                <w:rFonts w:hint="eastAsia" w:ascii="宋体" w:hAnsi="宋体" w:eastAsia="宋体" w:cs="宋体"/>
                <w:i w:val="0"/>
                <w:color w:val="000000"/>
                <w:kern w:val="0"/>
                <w:sz w:val="18"/>
                <w:szCs w:val="18"/>
              </w:rPr>
            </w:pPr>
          </w:p>
        </w:tc>
        <w:tc>
          <w:tcPr>
            <w:tcW w:w="73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21.00</w:t>
            </w:r>
          </w:p>
        </w:tc>
      </w:tr>
      <w:tr>
        <w:tblPrEx>
          <w:tblCellMar>
            <w:top w:w="0" w:type="dxa"/>
            <w:left w:w="0" w:type="dxa"/>
            <w:bottom w:w="0" w:type="dxa"/>
            <w:right w:w="0" w:type="dxa"/>
          </w:tblCellMar>
        </w:tblPrEx>
        <w:trPr>
          <w:trHeight w:val="300" w:hRule="atLeast"/>
          <w:jc w:val="center"/>
        </w:trPr>
        <w:tc>
          <w:tcPr>
            <w:tcW w:w="236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2101599</w:t>
            </w:r>
          </w:p>
        </w:tc>
        <w:tc>
          <w:tcPr>
            <w:tcW w:w="320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其他医疗保障管理事务支出</w:t>
            </w:r>
          </w:p>
        </w:tc>
        <w:tc>
          <w:tcPr>
            <w:tcW w:w="86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27.80</w:t>
            </w:r>
          </w:p>
        </w:tc>
        <w:tc>
          <w:tcPr>
            <w:tcW w:w="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15.00</w:t>
            </w:r>
          </w:p>
        </w:tc>
        <w:tc>
          <w:tcPr>
            <w:tcW w:w="73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12.80</w:t>
            </w:r>
          </w:p>
        </w:tc>
      </w:tr>
      <w:tr>
        <w:tblPrEx>
          <w:tblCellMar>
            <w:top w:w="0" w:type="dxa"/>
            <w:left w:w="0" w:type="dxa"/>
            <w:bottom w:w="0" w:type="dxa"/>
            <w:right w:w="0" w:type="dxa"/>
          </w:tblCellMar>
        </w:tblPrEx>
        <w:trPr>
          <w:trHeight w:val="300" w:hRule="atLeast"/>
          <w:jc w:val="center"/>
        </w:trPr>
        <w:tc>
          <w:tcPr>
            <w:tcW w:w="236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221</w:t>
            </w:r>
          </w:p>
        </w:tc>
        <w:tc>
          <w:tcPr>
            <w:tcW w:w="32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住房保障支出</w:t>
            </w:r>
          </w:p>
        </w:tc>
        <w:tc>
          <w:tcPr>
            <w:tcW w:w="8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22.18</w:t>
            </w:r>
          </w:p>
        </w:tc>
        <w:tc>
          <w:tcPr>
            <w:tcW w:w="76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22.18</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rPr>
                <w:rFonts w:hint="eastAsia" w:ascii="宋体" w:hAnsi="宋体" w:eastAsia="宋体" w:cs="宋体"/>
                <w:b/>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236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22102</w:t>
            </w:r>
          </w:p>
        </w:tc>
        <w:tc>
          <w:tcPr>
            <w:tcW w:w="32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住房改革支出</w:t>
            </w:r>
          </w:p>
        </w:tc>
        <w:tc>
          <w:tcPr>
            <w:tcW w:w="8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22.18</w:t>
            </w:r>
          </w:p>
        </w:tc>
        <w:tc>
          <w:tcPr>
            <w:tcW w:w="76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22.18</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autoSpaceDE w:val="0"/>
              <w:autoSpaceDN/>
              <w:jc w:val="right"/>
              <w:rPr>
                <w:rFonts w:hint="eastAsia" w:ascii="宋体" w:hAnsi="宋体" w:eastAsia="宋体" w:cs="宋体"/>
                <w:b/>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236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2210201</w:t>
            </w:r>
          </w:p>
        </w:tc>
        <w:tc>
          <w:tcPr>
            <w:tcW w:w="320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住房公积金</w:t>
            </w:r>
          </w:p>
        </w:tc>
        <w:tc>
          <w:tcPr>
            <w:tcW w:w="86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18.06</w:t>
            </w:r>
          </w:p>
        </w:tc>
        <w:tc>
          <w:tcPr>
            <w:tcW w:w="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18.06</w:t>
            </w:r>
          </w:p>
        </w:tc>
        <w:tc>
          <w:tcPr>
            <w:tcW w:w="73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236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2210202</w:t>
            </w:r>
          </w:p>
        </w:tc>
        <w:tc>
          <w:tcPr>
            <w:tcW w:w="320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提租补贴</w:t>
            </w:r>
          </w:p>
        </w:tc>
        <w:tc>
          <w:tcPr>
            <w:tcW w:w="86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4.12</w:t>
            </w:r>
          </w:p>
        </w:tc>
        <w:tc>
          <w:tcPr>
            <w:tcW w:w="7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4.12</w:t>
            </w:r>
          </w:p>
        </w:tc>
        <w:tc>
          <w:tcPr>
            <w:tcW w:w="73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autoSpaceDE w:val="0"/>
              <w:autoSpaceDN/>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7927"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注：本表反映部门本年度一般公共预算财政拨款支出情况。</w:t>
            </w:r>
          </w:p>
        </w:tc>
      </w:tr>
      <w:tr>
        <w:tblPrEx>
          <w:tblCellMar>
            <w:top w:w="0" w:type="dxa"/>
            <w:left w:w="0" w:type="dxa"/>
            <w:bottom w:w="0" w:type="dxa"/>
            <w:right w:w="0" w:type="dxa"/>
          </w:tblCellMar>
        </w:tblPrEx>
        <w:trPr>
          <w:trHeight w:val="300" w:hRule="atLeast"/>
          <w:jc w:val="center"/>
        </w:trPr>
        <w:tc>
          <w:tcPr>
            <w:tcW w:w="7927"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autoSpaceDE w:val="0"/>
              <w:autoSpaceDN/>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1栏各行＝（2＋3）栏各行。</w:t>
            </w:r>
          </w:p>
        </w:tc>
      </w:tr>
    </w:tbl>
    <w:p>
      <w:pPr>
        <w:keepNext w:val="0"/>
        <w:keepLines w:val="0"/>
        <w:widowControl/>
        <w:suppressLineNumbers w:val="0"/>
        <w:autoSpaceDE w:val="0"/>
        <w:autoSpaceDN/>
        <w:snapToGrid w:val="0"/>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16"/>
        <w:tblW w:w="9066" w:type="dxa"/>
        <w:jc w:val="center"/>
        <w:shd w:val="clear" w:color="auto" w:fill="auto"/>
        <w:tblLayout w:type="fixed"/>
        <w:tblCellMar>
          <w:top w:w="0" w:type="dxa"/>
          <w:left w:w="0" w:type="dxa"/>
          <w:bottom w:w="0" w:type="dxa"/>
          <w:right w:w="0" w:type="dxa"/>
        </w:tblCellMar>
      </w:tblPr>
      <w:tblGrid>
        <w:gridCol w:w="501"/>
        <w:gridCol w:w="2220"/>
        <w:gridCol w:w="570"/>
        <w:gridCol w:w="810"/>
        <w:gridCol w:w="1350"/>
        <w:gridCol w:w="630"/>
        <w:gridCol w:w="675"/>
        <w:gridCol w:w="1680"/>
        <w:gridCol w:w="630"/>
      </w:tblGrid>
      <w:tr>
        <w:tblPrEx>
          <w:shd w:val="clear" w:color="auto" w:fill="auto"/>
          <w:tblCellMar>
            <w:top w:w="0" w:type="dxa"/>
            <w:left w:w="0" w:type="dxa"/>
            <w:bottom w:w="0" w:type="dxa"/>
            <w:right w:w="0" w:type="dxa"/>
          </w:tblCellMar>
        </w:tblPrEx>
        <w:trPr>
          <w:trHeight w:val="375" w:hRule="atLeast"/>
          <w:jc w:val="center"/>
        </w:trPr>
        <w:tc>
          <w:tcPr>
            <w:tcW w:w="9066"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rPr>
            </w:pPr>
            <w:r>
              <w:rPr>
                <w:rFonts w:hint="eastAsia" w:ascii="黑体" w:hAnsi="宋体" w:eastAsia="黑体" w:cs="黑体"/>
                <w:i w:val="0"/>
                <w:color w:val="000000"/>
                <w:kern w:val="0"/>
                <w:sz w:val="24"/>
                <w:szCs w:val="24"/>
              </w:rPr>
              <w:t>2023年度一般公共预算财政拨款基本支出决算明细表（表6）</w:t>
            </w:r>
          </w:p>
        </w:tc>
      </w:tr>
      <w:tr>
        <w:tblPrEx>
          <w:tblCellMar>
            <w:top w:w="0" w:type="dxa"/>
            <w:left w:w="0" w:type="dxa"/>
            <w:bottom w:w="0" w:type="dxa"/>
            <w:right w:w="0" w:type="dxa"/>
          </w:tblCellMar>
        </w:tblPrEx>
        <w:trPr>
          <w:trHeight w:val="300" w:hRule="atLeast"/>
          <w:jc w:val="center"/>
        </w:trPr>
        <w:tc>
          <w:tcPr>
            <w:tcW w:w="50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22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57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81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35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3615" w:type="dxa"/>
            <w:gridSpan w:val="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公开06表</w:t>
            </w:r>
          </w:p>
        </w:tc>
      </w:tr>
      <w:tr>
        <w:tblPrEx>
          <w:tblCellMar>
            <w:top w:w="0" w:type="dxa"/>
            <w:left w:w="0" w:type="dxa"/>
            <w:bottom w:w="0" w:type="dxa"/>
            <w:right w:w="0" w:type="dxa"/>
          </w:tblCellMar>
        </w:tblPrEx>
        <w:trPr>
          <w:trHeight w:val="300" w:hRule="atLeast"/>
          <w:jc w:val="center"/>
        </w:trPr>
        <w:tc>
          <w:tcPr>
            <w:tcW w:w="4101"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2"/>
                <w:szCs w:val="22"/>
              </w:rPr>
              <w:t>部门：武汉市蔡甸区医疗保障局（本级）</w:t>
            </w:r>
          </w:p>
        </w:tc>
        <w:tc>
          <w:tcPr>
            <w:tcW w:w="135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p>
        </w:tc>
        <w:tc>
          <w:tcPr>
            <w:tcW w:w="3615"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金额单位：万元</w:t>
            </w:r>
          </w:p>
        </w:tc>
      </w:tr>
      <w:tr>
        <w:tblPrEx>
          <w:tblCellMar>
            <w:top w:w="0" w:type="dxa"/>
            <w:left w:w="0" w:type="dxa"/>
            <w:bottom w:w="0" w:type="dxa"/>
            <w:right w:w="0" w:type="dxa"/>
          </w:tblCellMar>
        </w:tblPrEx>
        <w:trPr>
          <w:trHeight w:val="300" w:hRule="atLeast"/>
          <w:jc w:val="center"/>
        </w:trPr>
        <w:tc>
          <w:tcPr>
            <w:tcW w:w="329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人员经费</w:t>
            </w:r>
          </w:p>
        </w:tc>
        <w:tc>
          <w:tcPr>
            <w:tcW w:w="5775"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公用经费</w:t>
            </w:r>
          </w:p>
        </w:tc>
      </w:tr>
      <w:tr>
        <w:tblPrEx>
          <w:tblCellMar>
            <w:top w:w="0" w:type="dxa"/>
            <w:left w:w="0" w:type="dxa"/>
            <w:bottom w:w="0" w:type="dxa"/>
            <w:right w:w="0" w:type="dxa"/>
          </w:tblCellMar>
        </w:tblPrEx>
        <w:trPr>
          <w:trHeight w:val="300" w:hRule="atLeast"/>
          <w:jc w:val="center"/>
        </w:trPr>
        <w:tc>
          <w:tcPr>
            <w:tcW w:w="501"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科目代码</w:t>
            </w:r>
          </w:p>
        </w:tc>
        <w:tc>
          <w:tcPr>
            <w:tcW w:w="222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科目名称</w:t>
            </w:r>
          </w:p>
        </w:tc>
        <w:tc>
          <w:tcPr>
            <w:tcW w:w="5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决算数</w:t>
            </w:r>
          </w:p>
        </w:tc>
        <w:tc>
          <w:tcPr>
            <w:tcW w:w="81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科目代码</w:t>
            </w:r>
          </w:p>
        </w:tc>
        <w:tc>
          <w:tcPr>
            <w:tcW w:w="13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科目名称</w:t>
            </w:r>
          </w:p>
        </w:tc>
        <w:tc>
          <w:tcPr>
            <w:tcW w:w="6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决算数</w:t>
            </w:r>
          </w:p>
        </w:tc>
        <w:tc>
          <w:tcPr>
            <w:tcW w:w="67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科目代码</w:t>
            </w:r>
          </w:p>
        </w:tc>
        <w:tc>
          <w:tcPr>
            <w:tcW w:w="168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科目名称</w:t>
            </w:r>
          </w:p>
        </w:tc>
        <w:tc>
          <w:tcPr>
            <w:tcW w:w="6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决算数</w:t>
            </w:r>
          </w:p>
        </w:tc>
      </w:tr>
      <w:tr>
        <w:tblPrEx>
          <w:tblCellMar>
            <w:top w:w="0" w:type="dxa"/>
            <w:left w:w="0" w:type="dxa"/>
            <w:bottom w:w="0" w:type="dxa"/>
            <w:right w:w="0" w:type="dxa"/>
          </w:tblCellMar>
        </w:tblPrEx>
        <w:trPr>
          <w:trHeight w:val="300" w:hRule="atLeast"/>
          <w:jc w:val="center"/>
        </w:trPr>
        <w:tc>
          <w:tcPr>
            <w:tcW w:w="501"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222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5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81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13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6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6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16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6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301</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工资福利支出</w:t>
            </w:r>
          </w:p>
        </w:tc>
        <w:tc>
          <w:tcPr>
            <w:tcW w:w="57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235.26</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商品和服务支出</w:t>
            </w:r>
          </w:p>
        </w:tc>
        <w:tc>
          <w:tcPr>
            <w:tcW w:w="63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7.87</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310</w:t>
            </w: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资本性支出</w:t>
            </w:r>
          </w:p>
        </w:tc>
        <w:tc>
          <w:tcPr>
            <w:tcW w:w="63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30101</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基本工资</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42.87</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30201</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办公费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1.23</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31002</w:t>
            </w: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办公设备购置</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30102</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津贴补贴</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33.73</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30202</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印刷费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31003</w:t>
            </w: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专用设备购置</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30103</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奖金</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79.15</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30203</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咨询费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31007</w:t>
            </w: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信息网络及软件购置更新</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30106</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伙食补助费</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30204</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手续费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31013</w:t>
            </w: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公务用车购置</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30107</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绩效工资</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30205</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水费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0.19</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31021</w:t>
            </w: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文物和陈列品购置</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30108</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机关事业单位基本养老保险缴费</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22.07</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30206</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电费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1.13</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31022</w:t>
            </w: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无形资产购置</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30109</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职业年金缴费</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30207</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邮电费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0.63</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31099</w:t>
            </w: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其他资本性支出</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30110</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职工基本医疗保险缴费</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11.10</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30208</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取暖费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30111</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公务员医疗补助缴费</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11.02</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30209</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物业管理费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30112</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其他社会保障缴费</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30211</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差旅费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30113</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住房公积金</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23.15</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30212</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因公出国（境）费用</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30114</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医疗费</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30213</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维修（护）费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30199</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其他工资福利支出</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12.17</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30214</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租赁费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303</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对个人和家庭的补助</w:t>
            </w:r>
          </w:p>
        </w:tc>
        <w:tc>
          <w:tcPr>
            <w:tcW w:w="57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30215</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会议费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30301</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离休费</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30216</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培训费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30302</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退休费</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30217</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公务接待费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30303</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退职（役）费</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30218</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专用材料费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30304</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抚恤金</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30224</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被装购置费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30305</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生活补助</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30225</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专用燃料费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30306</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救济费</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30226</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劳务费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0.12</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30307</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医疗费补助</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30227</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委托业务费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30308</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助学金</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30228</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工会经费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4.57</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30309</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奖励金</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30229</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福利费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30310</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个人农业生产补贴</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30231</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公务用车运行维护费</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30311</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代缴社会保险费</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30239</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其他交通费用</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30399</w:t>
            </w: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其他对个人和家庭的补助</w:t>
            </w: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30240</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税金及附加费用</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76" w:hRule="atLeast"/>
          <w:jc w:val="center"/>
        </w:trPr>
        <w:tc>
          <w:tcPr>
            <w:tcW w:w="501"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2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c>
          <w:tcPr>
            <w:tcW w:w="8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30299</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其他商品和服务支出</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0.00</w:t>
            </w:r>
          </w:p>
        </w:tc>
        <w:tc>
          <w:tcPr>
            <w:tcW w:w="6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6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2721"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人员经费合计</w:t>
            </w:r>
          </w:p>
        </w:tc>
        <w:tc>
          <w:tcPr>
            <w:tcW w:w="57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235.26</w:t>
            </w:r>
          </w:p>
        </w:tc>
        <w:tc>
          <w:tcPr>
            <w:tcW w:w="514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公用经费合计</w:t>
            </w:r>
          </w:p>
        </w:tc>
        <w:tc>
          <w:tcPr>
            <w:tcW w:w="63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7.87</w:t>
            </w:r>
          </w:p>
        </w:tc>
      </w:tr>
      <w:tr>
        <w:tblPrEx>
          <w:tblCellMar>
            <w:top w:w="0" w:type="dxa"/>
            <w:left w:w="0" w:type="dxa"/>
            <w:bottom w:w="0" w:type="dxa"/>
            <w:right w:w="0" w:type="dxa"/>
          </w:tblCellMar>
        </w:tblPrEx>
        <w:trPr>
          <w:trHeight w:val="300" w:hRule="atLeast"/>
          <w:jc w:val="center"/>
        </w:trPr>
        <w:tc>
          <w:tcPr>
            <w:tcW w:w="9066"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注：本表反映部门本年度一般公共预算财政拨款基本支出明细情况。</w:t>
            </w:r>
          </w:p>
        </w:tc>
      </w:tr>
    </w:tbl>
    <w:p>
      <w:pPr>
        <w:keepNext w:val="0"/>
        <w:keepLines w:val="0"/>
        <w:widowControl/>
        <w:suppressLineNumbers w:val="0"/>
        <w:autoSpaceDE w:val="0"/>
        <w:autoSpaceDN/>
        <w:snapToGrid w:val="0"/>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16"/>
        <w:tblW w:w="9744" w:type="dxa"/>
        <w:jc w:val="center"/>
        <w:shd w:val="clear" w:color="auto" w:fill="auto"/>
        <w:tblLayout w:type="fixed"/>
        <w:tblCellMar>
          <w:top w:w="0" w:type="dxa"/>
          <w:left w:w="0" w:type="dxa"/>
          <w:bottom w:w="0" w:type="dxa"/>
          <w:right w:w="0" w:type="dxa"/>
        </w:tblCellMar>
      </w:tblPr>
      <w:tblGrid>
        <w:gridCol w:w="257"/>
        <w:gridCol w:w="257"/>
        <w:gridCol w:w="342"/>
        <w:gridCol w:w="1508"/>
        <w:gridCol w:w="1582"/>
        <w:gridCol w:w="1140"/>
        <w:gridCol w:w="960"/>
        <w:gridCol w:w="1080"/>
        <w:gridCol w:w="1050"/>
        <w:gridCol w:w="1568"/>
      </w:tblGrid>
      <w:tr>
        <w:tblPrEx>
          <w:shd w:val="clear" w:color="auto" w:fill="auto"/>
          <w:tblCellMar>
            <w:top w:w="0" w:type="dxa"/>
            <w:left w:w="0" w:type="dxa"/>
            <w:bottom w:w="0" w:type="dxa"/>
            <w:right w:w="0" w:type="dxa"/>
          </w:tblCellMar>
        </w:tblPrEx>
        <w:trPr>
          <w:trHeight w:val="379" w:hRule="atLeast"/>
          <w:jc w:val="center"/>
        </w:trPr>
        <w:tc>
          <w:tcPr>
            <w:tcW w:w="9744"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rPr>
            </w:pPr>
            <w:r>
              <w:rPr>
                <w:rFonts w:hint="eastAsia" w:ascii="黑体" w:hAnsi="宋体" w:eastAsia="黑体" w:cs="黑体"/>
                <w:i w:val="0"/>
                <w:color w:val="000000"/>
                <w:kern w:val="0"/>
                <w:sz w:val="28"/>
                <w:szCs w:val="28"/>
              </w:rPr>
              <w:t>2023年度政府性基金预算财政拨款收入支出决算表（表7）</w:t>
            </w:r>
          </w:p>
        </w:tc>
      </w:tr>
      <w:tr>
        <w:tblPrEx>
          <w:tblCellMar>
            <w:top w:w="0" w:type="dxa"/>
            <w:left w:w="0" w:type="dxa"/>
            <w:bottom w:w="0" w:type="dxa"/>
            <w:right w:w="0" w:type="dxa"/>
          </w:tblCellMar>
        </w:tblPrEx>
        <w:trPr>
          <w:trHeight w:val="291" w:hRule="atLeast"/>
          <w:jc w:val="center"/>
        </w:trPr>
        <w:tc>
          <w:tcPr>
            <w:tcW w:w="25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20"/>
                <w:szCs w:val="20"/>
              </w:rPr>
            </w:pPr>
          </w:p>
        </w:tc>
        <w:tc>
          <w:tcPr>
            <w:tcW w:w="25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20"/>
                <w:szCs w:val="20"/>
              </w:rPr>
            </w:pPr>
          </w:p>
        </w:tc>
        <w:tc>
          <w:tcPr>
            <w:tcW w:w="34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20"/>
                <w:szCs w:val="20"/>
              </w:rPr>
            </w:pPr>
          </w:p>
        </w:tc>
        <w:tc>
          <w:tcPr>
            <w:tcW w:w="150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20"/>
                <w:szCs w:val="20"/>
              </w:rPr>
            </w:pPr>
          </w:p>
        </w:tc>
        <w:tc>
          <w:tcPr>
            <w:tcW w:w="158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20"/>
                <w:szCs w:val="20"/>
              </w:rPr>
            </w:pPr>
          </w:p>
        </w:tc>
        <w:tc>
          <w:tcPr>
            <w:tcW w:w="11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20"/>
                <w:szCs w:val="20"/>
              </w:rPr>
            </w:pPr>
          </w:p>
        </w:tc>
        <w:tc>
          <w:tcPr>
            <w:tcW w:w="96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20"/>
                <w:szCs w:val="20"/>
              </w:rPr>
            </w:pPr>
          </w:p>
        </w:tc>
        <w:tc>
          <w:tcPr>
            <w:tcW w:w="10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20"/>
                <w:szCs w:val="20"/>
              </w:rPr>
            </w:pPr>
          </w:p>
        </w:tc>
        <w:tc>
          <w:tcPr>
            <w:tcW w:w="2618"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公开07表</w:t>
            </w:r>
          </w:p>
        </w:tc>
      </w:tr>
      <w:tr>
        <w:tblPrEx>
          <w:tblCellMar>
            <w:top w:w="0" w:type="dxa"/>
            <w:left w:w="0" w:type="dxa"/>
            <w:bottom w:w="0" w:type="dxa"/>
            <w:right w:w="0" w:type="dxa"/>
          </w:tblCellMar>
        </w:tblPrEx>
        <w:trPr>
          <w:trHeight w:val="306" w:hRule="atLeast"/>
          <w:jc w:val="center"/>
        </w:trPr>
        <w:tc>
          <w:tcPr>
            <w:tcW w:w="3946" w:type="dxa"/>
            <w:gridSpan w:val="5"/>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部门：武汉市蔡甸区医疗保障局（本级）</w:t>
            </w:r>
          </w:p>
        </w:tc>
        <w:tc>
          <w:tcPr>
            <w:tcW w:w="114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20"/>
                <w:szCs w:val="20"/>
              </w:rPr>
            </w:pPr>
          </w:p>
        </w:tc>
        <w:tc>
          <w:tcPr>
            <w:tcW w:w="96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20"/>
                <w:szCs w:val="20"/>
              </w:rPr>
            </w:pPr>
          </w:p>
        </w:tc>
        <w:tc>
          <w:tcPr>
            <w:tcW w:w="108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20"/>
                <w:szCs w:val="20"/>
              </w:rPr>
            </w:pPr>
          </w:p>
        </w:tc>
        <w:tc>
          <w:tcPr>
            <w:tcW w:w="2618"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金额单位：万元</w:t>
            </w:r>
          </w:p>
        </w:tc>
      </w:tr>
      <w:tr>
        <w:tblPrEx>
          <w:tblCellMar>
            <w:top w:w="0" w:type="dxa"/>
            <w:left w:w="0" w:type="dxa"/>
            <w:bottom w:w="0" w:type="dxa"/>
            <w:right w:w="0" w:type="dxa"/>
          </w:tblCellMar>
        </w:tblPrEx>
        <w:trPr>
          <w:trHeight w:val="316" w:hRule="atLeast"/>
          <w:jc w:val="center"/>
        </w:trPr>
        <w:tc>
          <w:tcPr>
            <w:tcW w:w="2364"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项目</w:t>
            </w:r>
          </w:p>
        </w:tc>
        <w:tc>
          <w:tcPr>
            <w:tcW w:w="158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年初结转和结余</w:t>
            </w:r>
          </w:p>
        </w:tc>
        <w:tc>
          <w:tcPr>
            <w:tcW w:w="114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本年收入</w:t>
            </w:r>
          </w:p>
        </w:tc>
        <w:tc>
          <w:tcPr>
            <w:tcW w:w="3090" w:type="dxa"/>
            <w:gridSpan w:val="3"/>
            <w:tcBorders>
              <w:top w:val="nil"/>
              <w:left w:val="nil"/>
              <w:bottom w:val="nil"/>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本年支出</w:t>
            </w:r>
          </w:p>
        </w:tc>
        <w:tc>
          <w:tcPr>
            <w:tcW w:w="156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年末结转和结余</w:t>
            </w:r>
          </w:p>
        </w:tc>
      </w:tr>
      <w:tr>
        <w:tblPrEx>
          <w:tblCellMar>
            <w:top w:w="0" w:type="dxa"/>
            <w:left w:w="0" w:type="dxa"/>
            <w:bottom w:w="0" w:type="dxa"/>
            <w:right w:w="0" w:type="dxa"/>
          </w:tblCellMar>
        </w:tblPrEx>
        <w:trPr>
          <w:trHeight w:val="316" w:hRule="atLeast"/>
          <w:jc w:val="center"/>
        </w:trPr>
        <w:tc>
          <w:tcPr>
            <w:tcW w:w="856"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功能分类</w:t>
            </w:r>
            <w:r>
              <w:rPr>
                <w:rFonts w:hint="eastAsia" w:ascii="宋体" w:hAnsi="宋体" w:eastAsia="宋体" w:cs="宋体"/>
                <w:i w:val="0"/>
                <w:color w:val="000000"/>
                <w:kern w:val="0"/>
                <w:sz w:val="20"/>
                <w:szCs w:val="20"/>
              </w:rPr>
              <w:br w:type="textWrapping"/>
            </w:r>
            <w:r>
              <w:rPr>
                <w:rFonts w:hint="eastAsia" w:ascii="宋体" w:hAnsi="宋体" w:eastAsia="宋体" w:cs="宋体"/>
                <w:i w:val="0"/>
                <w:color w:val="000000"/>
                <w:kern w:val="0"/>
                <w:sz w:val="20"/>
                <w:szCs w:val="20"/>
              </w:rPr>
              <w:t>科目编码</w:t>
            </w:r>
          </w:p>
        </w:tc>
        <w:tc>
          <w:tcPr>
            <w:tcW w:w="1508"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科目名称</w:t>
            </w:r>
          </w:p>
        </w:tc>
        <w:tc>
          <w:tcPr>
            <w:tcW w:w="158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114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96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小计</w:t>
            </w:r>
          </w:p>
        </w:tc>
        <w:tc>
          <w:tcPr>
            <w:tcW w:w="108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基本支出</w:t>
            </w:r>
          </w:p>
        </w:tc>
        <w:tc>
          <w:tcPr>
            <w:tcW w:w="10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项目支出</w:t>
            </w:r>
          </w:p>
        </w:tc>
        <w:tc>
          <w:tcPr>
            <w:tcW w:w="156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316" w:hRule="atLeast"/>
          <w:jc w:val="center"/>
        </w:trPr>
        <w:tc>
          <w:tcPr>
            <w:tcW w:w="856"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158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114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9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10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10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156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316" w:hRule="atLeast"/>
          <w:jc w:val="center"/>
        </w:trPr>
        <w:tc>
          <w:tcPr>
            <w:tcW w:w="856"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158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114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9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10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10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156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316" w:hRule="atLeast"/>
          <w:jc w:val="center"/>
        </w:trPr>
        <w:tc>
          <w:tcPr>
            <w:tcW w:w="257" w:type="dxa"/>
            <w:vMerge w:val="restar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类</w:t>
            </w:r>
          </w:p>
        </w:tc>
        <w:tc>
          <w:tcPr>
            <w:tcW w:w="257"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款</w:t>
            </w:r>
          </w:p>
        </w:tc>
        <w:tc>
          <w:tcPr>
            <w:tcW w:w="342"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项</w:t>
            </w:r>
          </w:p>
        </w:tc>
        <w:tc>
          <w:tcPr>
            <w:tcW w:w="15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栏次</w:t>
            </w:r>
          </w:p>
        </w:tc>
        <w:tc>
          <w:tcPr>
            <w:tcW w:w="15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w:t>
            </w:r>
          </w:p>
        </w:tc>
        <w:tc>
          <w:tcPr>
            <w:tcW w:w="11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w:t>
            </w:r>
          </w:p>
        </w:tc>
        <w:tc>
          <w:tcPr>
            <w:tcW w:w="9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w:t>
            </w:r>
          </w:p>
        </w:tc>
        <w:tc>
          <w:tcPr>
            <w:tcW w:w="10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w:t>
            </w:r>
          </w:p>
        </w:tc>
        <w:tc>
          <w:tcPr>
            <w:tcW w:w="10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w:t>
            </w:r>
          </w:p>
        </w:tc>
        <w:tc>
          <w:tcPr>
            <w:tcW w:w="15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w:t>
            </w:r>
          </w:p>
        </w:tc>
      </w:tr>
      <w:tr>
        <w:tblPrEx>
          <w:tblCellMar>
            <w:top w:w="0" w:type="dxa"/>
            <w:left w:w="0" w:type="dxa"/>
            <w:bottom w:w="0" w:type="dxa"/>
            <w:right w:w="0" w:type="dxa"/>
          </w:tblCellMar>
        </w:tblPrEx>
        <w:trPr>
          <w:trHeight w:val="316" w:hRule="atLeast"/>
          <w:jc w:val="center"/>
        </w:trPr>
        <w:tc>
          <w:tcPr>
            <w:tcW w:w="257" w:type="dxa"/>
            <w:vMerge w:val="continue"/>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257"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342"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15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合计</w:t>
            </w:r>
          </w:p>
        </w:tc>
        <w:tc>
          <w:tcPr>
            <w:tcW w:w="158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114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96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108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105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1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r>
      <w:tr>
        <w:tblPrEx>
          <w:tblCellMar>
            <w:top w:w="0" w:type="dxa"/>
            <w:left w:w="0" w:type="dxa"/>
            <w:bottom w:w="0" w:type="dxa"/>
            <w:right w:w="0" w:type="dxa"/>
          </w:tblCellMar>
        </w:tblPrEx>
        <w:trPr>
          <w:trHeight w:val="316" w:hRule="atLeast"/>
          <w:jc w:val="center"/>
        </w:trPr>
        <w:tc>
          <w:tcPr>
            <w:tcW w:w="856"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20"/>
                <w:szCs w:val="20"/>
              </w:rPr>
            </w:pPr>
          </w:p>
        </w:tc>
        <w:tc>
          <w:tcPr>
            <w:tcW w:w="150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jc w:val="left"/>
              <w:rPr>
                <w:rFonts w:hint="eastAsia" w:ascii="宋体" w:hAnsi="宋体" w:eastAsia="宋体" w:cs="宋体"/>
                <w:i w:val="0"/>
                <w:color w:val="000000"/>
                <w:kern w:val="0"/>
                <w:sz w:val="20"/>
                <w:szCs w:val="20"/>
              </w:rPr>
            </w:pPr>
          </w:p>
        </w:tc>
        <w:tc>
          <w:tcPr>
            <w:tcW w:w="15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96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10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15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16" w:hRule="atLeast"/>
          <w:jc w:val="center"/>
        </w:trPr>
        <w:tc>
          <w:tcPr>
            <w:tcW w:w="9744"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注：本表反映部门本年度政府性基金预算财政拨款收入、支出及结转和结余情况。</w:t>
            </w:r>
          </w:p>
        </w:tc>
      </w:tr>
      <w:tr>
        <w:tblPrEx>
          <w:tblCellMar>
            <w:top w:w="0" w:type="dxa"/>
            <w:left w:w="0" w:type="dxa"/>
            <w:bottom w:w="0" w:type="dxa"/>
            <w:right w:w="0" w:type="dxa"/>
          </w:tblCellMar>
        </w:tblPrEx>
        <w:trPr>
          <w:trHeight w:val="306" w:hRule="atLeast"/>
          <w:jc w:val="center"/>
        </w:trPr>
        <w:tc>
          <w:tcPr>
            <w:tcW w:w="9744"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6栏各行＝（1＋2－3）栏各行；3栏各行＝（4＋5）栏各行。</w:t>
            </w:r>
          </w:p>
        </w:tc>
      </w:tr>
    </w:tbl>
    <w:p>
      <w:pPr>
        <w:keepNext w:val="0"/>
        <w:keepLines w:val="0"/>
        <w:widowControl/>
        <w:suppressLineNumbers w:val="0"/>
        <w:autoSpaceDE w:val="0"/>
        <w:autoSpaceDN/>
        <w:snapToGrid w:val="0"/>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16"/>
        <w:tblW w:w="9471" w:type="dxa"/>
        <w:jc w:val="center"/>
        <w:shd w:val="clear" w:color="auto" w:fill="auto"/>
        <w:tblLayout w:type="fixed"/>
        <w:tblCellMar>
          <w:top w:w="0" w:type="dxa"/>
          <w:left w:w="0" w:type="dxa"/>
          <w:bottom w:w="0" w:type="dxa"/>
          <w:right w:w="0" w:type="dxa"/>
        </w:tblCellMar>
      </w:tblPr>
      <w:tblGrid>
        <w:gridCol w:w="1596"/>
        <w:gridCol w:w="1560"/>
        <w:gridCol w:w="1050"/>
        <w:gridCol w:w="1074"/>
        <w:gridCol w:w="1296"/>
        <w:gridCol w:w="1455"/>
        <w:gridCol w:w="1440"/>
      </w:tblGrid>
      <w:tr>
        <w:tblPrEx>
          <w:shd w:val="clear" w:color="auto" w:fill="auto"/>
          <w:tblCellMar>
            <w:top w:w="0" w:type="dxa"/>
            <w:left w:w="0" w:type="dxa"/>
            <w:bottom w:w="0" w:type="dxa"/>
            <w:right w:w="0" w:type="dxa"/>
          </w:tblCellMar>
        </w:tblPrEx>
        <w:trPr>
          <w:trHeight w:val="375" w:hRule="atLeast"/>
          <w:jc w:val="center"/>
        </w:trPr>
        <w:tc>
          <w:tcPr>
            <w:tcW w:w="9471"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30"/>
                <w:szCs w:val="30"/>
              </w:rPr>
            </w:pPr>
            <w:r>
              <w:rPr>
                <w:rFonts w:hint="eastAsia" w:ascii="黑体" w:hAnsi="宋体" w:eastAsia="黑体" w:cs="黑体"/>
                <w:i w:val="0"/>
                <w:color w:val="000000"/>
                <w:kern w:val="0"/>
                <w:sz w:val="30"/>
                <w:szCs w:val="30"/>
              </w:rPr>
              <w:t>2023年度国有资本经营预算财政拨款支出决算表（表8）</w:t>
            </w:r>
          </w:p>
        </w:tc>
      </w:tr>
      <w:tr>
        <w:tblPrEx>
          <w:tblCellMar>
            <w:top w:w="0" w:type="dxa"/>
            <w:left w:w="0" w:type="dxa"/>
            <w:bottom w:w="0" w:type="dxa"/>
            <w:right w:w="0" w:type="dxa"/>
          </w:tblCellMar>
        </w:tblPrEx>
        <w:trPr>
          <w:trHeight w:val="300" w:hRule="atLeast"/>
          <w:jc w:val="center"/>
        </w:trPr>
        <w:tc>
          <w:tcPr>
            <w:tcW w:w="159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22"/>
                <w:szCs w:val="22"/>
              </w:rPr>
            </w:pPr>
          </w:p>
        </w:tc>
        <w:tc>
          <w:tcPr>
            <w:tcW w:w="156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05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07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29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45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4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r>
      <w:tr>
        <w:tblPrEx>
          <w:tblCellMar>
            <w:top w:w="0" w:type="dxa"/>
            <w:left w:w="0" w:type="dxa"/>
            <w:bottom w:w="0" w:type="dxa"/>
            <w:right w:w="0" w:type="dxa"/>
          </w:tblCellMar>
        </w:tblPrEx>
        <w:trPr>
          <w:trHeight w:val="300" w:hRule="atLeast"/>
          <w:jc w:val="center"/>
        </w:trPr>
        <w:tc>
          <w:tcPr>
            <w:tcW w:w="159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56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05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07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129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18"/>
                <w:szCs w:val="18"/>
              </w:rPr>
            </w:pPr>
          </w:p>
        </w:tc>
        <w:tc>
          <w:tcPr>
            <w:tcW w:w="2895"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公开08表</w:t>
            </w:r>
          </w:p>
        </w:tc>
      </w:tr>
      <w:tr>
        <w:tblPrEx>
          <w:tblCellMar>
            <w:top w:w="0" w:type="dxa"/>
            <w:left w:w="0" w:type="dxa"/>
            <w:bottom w:w="0" w:type="dxa"/>
            <w:right w:w="0" w:type="dxa"/>
          </w:tblCellMar>
        </w:tblPrEx>
        <w:trPr>
          <w:trHeight w:val="300" w:hRule="atLeast"/>
          <w:jc w:val="center"/>
        </w:trPr>
        <w:tc>
          <w:tcPr>
            <w:tcW w:w="5280"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2"/>
                <w:szCs w:val="22"/>
              </w:rPr>
              <w:t>部门：武汉市蔡甸区医疗保障局（本级）</w:t>
            </w:r>
          </w:p>
        </w:tc>
        <w:tc>
          <w:tcPr>
            <w:tcW w:w="1296"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p>
        </w:tc>
        <w:tc>
          <w:tcPr>
            <w:tcW w:w="2895"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金额单位：万元</w:t>
            </w:r>
          </w:p>
        </w:tc>
      </w:tr>
      <w:tr>
        <w:tblPrEx>
          <w:tblCellMar>
            <w:top w:w="0" w:type="dxa"/>
            <w:left w:w="0" w:type="dxa"/>
            <w:bottom w:w="0" w:type="dxa"/>
            <w:right w:w="0" w:type="dxa"/>
          </w:tblCellMar>
        </w:tblPrEx>
        <w:trPr>
          <w:trHeight w:val="300" w:hRule="atLeast"/>
          <w:jc w:val="center"/>
        </w:trPr>
        <w:tc>
          <w:tcPr>
            <w:tcW w:w="528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项目</w:t>
            </w:r>
          </w:p>
        </w:tc>
        <w:tc>
          <w:tcPr>
            <w:tcW w:w="4191"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本年支出</w:t>
            </w:r>
          </w:p>
        </w:tc>
      </w:tr>
      <w:tr>
        <w:tblPrEx>
          <w:tblCellMar>
            <w:top w:w="0" w:type="dxa"/>
            <w:left w:w="0" w:type="dxa"/>
            <w:bottom w:w="0" w:type="dxa"/>
            <w:right w:w="0" w:type="dxa"/>
          </w:tblCellMar>
        </w:tblPrEx>
        <w:trPr>
          <w:trHeight w:val="300" w:hRule="atLeast"/>
          <w:jc w:val="center"/>
        </w:trPr>
        <w:tc>
          <w:tcPr>
            <w:tcW w:w="4206"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功能分类</w:t>
            </w:r>
            <w:r>
              <w:rPr>
                <w:rFonts w:hint="eastAsia" w:ascii="宋体" w:hAnsi="宋体" w:eastAsia="宋体" w:cs="宋体"/>
                <w:i w:val="0"/>
                <w:color w:val="000000"/>
                <w:kern w:val="0"/>
                <w:sz w:val="20"/>
                <w:szCs w:val="20"/>
              </w:rPr>
              <w:br w:type="textWrapping"/>
            </w:r>
            <w:r>
              <w:rPr>
                <w:rFonts w:hint="eastAsia" w:ascii="宋体" w:hAnsi="宋体" w:eastAsia="宋体" w:cs="宋体"/>
                <w:i w:val="0"/>
                <w:color w:val="000000"/>
                <w:kern w:val="0"/>
                <w:sz w:val="20"/>
                <w:szCs w:val="20"/>
              </w:rPr>
              <w:t>科目编码</w:t>
            </w:r>
          </w:p>
        </w:tc>
        <w:tc>
          <w:tcPr>
            <w:tcW w:w="1074"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科目名称</w:t>
            </w:r>
          </w:p>
        </w:tc>
        <w:tc>
          <w:tcPr>
            <w:tcW w:w="129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合计</w:t>
            </w:r>
          </w:p>
        </w:tc>
        <w:tc>
          <w:tcPr>
            <w:tcW w:w="145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基本支出</w:t>
            </w:r>
          </w:p>
        </w:tc>
        <w:tc>
          <w:tcPr>
            <w:tcW w:w="144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项目支出</w:t>
            </w:r>
          </w:p>
        </w:tc>
      </w:tr>
      <w:tr>
        <w:tblPrEx>
          <w:tblCellMar>
            <w:top w:w="0" w:type="dxa"/>
            <w:left w:w="0" w:type="dxa"/>
            <w:bottom w:w="0" w:type="dxa"/>
            <w:right w:w="0" w:type="dxa"/>
          </w:tblCellMar>
        </w:tblPrEx>
        <w:trPr>
          <w:trHeight w:val="300" w:hRule="atLeast"/>
          <w:jc w:val="center"/>
        </w:trPr>
        <w:tc>
          <w:tcPr>
            <w:tcW w:w="4206"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1074"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129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145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144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300" w:hRule="atLeast"/>
          <w:jc w:val="center"/>
        </w:trPr>
        <w:tc>
          <w:tcPr>
            <w:tcW w:w="4206"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1074"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129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145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144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300" w:hRule="atLeast"/>
          <w:jc w:val="center"/>
        </w:trPr>
        <w:tc>
          <w:tcPr>
            <w:tcW w:w="1596" w:type="dxa"/>
            <w:vMerge w:val="restar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类</w:t>
            </w:r>
          </w:p>
        </w:tc>
        <w:tc>
          <w:tcPr>
            <w:tcW w:w="1560"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款</w:t>
            </w:r>
          </w:p>
        </w:tc>
        <w:tc>
          <w:tcPr>
            <w:tcW w:w="1050"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项</w:t>
            </w:r>
          </w:p>
        </w:tc>
        <w:tc>
          <w:tcPr>
            <w:tcW w:w="107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栏次</w:t>
            </w:r>
          </w:p>
        </w:tc>
        <w:tc>
          <w:tcPr>
            <w:tcW w:w="12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w:t>
            </w:r>
          </w:p>
        </w:tc>
        <w:tc>
          <w:tcPr>
            <w:tcW w:w="14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w:t>
            </w:r>
          </w:p>
        </w:tc>
        <w:tc>
          <w:tcPr>
            <w:tcW w:w="14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w:t>
            </w:r>
          </w:p>
        </w:tc>
      </w:tr>
      <w:tr>
        <w:tblPrEx>
          <w:tblCellMar>
            <w:top w:w="0" w:type="dxa"/>
            <w:left w:w="0" w:type="dxa"/>
            <w:bottom w:w="0" w:type="dxa"/>
            <w:right w:w="0" w:type="dxa"/>
          </w:tblCellMar>
        </w:tblPrEx>
        <w:trPr>
          <w:trHeight w:val="300" w:hRule="atLeast"/>
          <w:jc w:val="center"/>
        </w:trPr>
        <w:tc>
          <w:tcPr>
            <w:tcW w:w="1596" w:type="dxa"/>
            <w:vMerge w:val="continue"/>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156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105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rPr>
                <w:rFonts w:hint="default" w:ascii="Times New Roman" w:hAnsi="Times New Roman" w:cs="Times New Roman"/>
                <w:sz w:val="20"/>
                <w:szCs w:val="20"/>
              </w:rPr>
            </w:pPr>
          </w:p>
        </w:tc>
        <w:tc>
          <w:tcPr>
            <w:tcW w:w="107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合计</w:t>
            </w:r>
          </w:p>
        </w:tc>
        <w:tc>
          <w:tcPr>
            <w:tcW w:w="129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145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c>
          <w:tcPr>
            <w:tcW w:w="144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b/>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4206"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kern w:val="0"/>
                <w:sz w:val="20"/>
                <w:szCs w:val="20"/>
              </w:rPr>
            </w:pPr>
          </w:p>
        </w:tc>
        <w:tc>
          <w:tcPr>
            <w:tcW w:w="1074"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jc w:val="left"/>
              <w:rPr>
                <w:rFonts w:hint="eastAsia" w:ascii="宋体" w:hAnsi="宋体" w:eastAsia="宋体" w:cs="宋体"/>
                <w:i w:val="0"/>
                <w:color w:val="000000"/>
                <w:kern w:val="0"/>
                <w:sz w:val="20"/>
                <w:szCs w:val="20"/>
              </w:rPr>
            </w:pPr>
          </w:p>
        </w:tc>
        <w:tc>
          <w:tcPr>
            <w:tcW w:w="129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300" w:hRule="atLeast"/>
          <w:jc w:val="center"/>
        </w:trPr>
        <w:tc>
          <w:tcPr>
            <w:tcW w:w="9471"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注：本表反映部门本年度国有资本经营预算财政拨款支出情况。</w:t>
            </w:r>
          </w:p>
        </w:tc>
      </w:tr>
      <w:tr>
        <w:tblPrEx>
          <w:tblCellMar>
            <w:top w:w="0" w:type="dxa"/>
            <w:left w:w="0" w:type="dxa"/>
            <w:bottom w:w="0" w:type="dxa"/>
            <w:right w:w="0" w:type="dxa"/>
          </w:tblCellMar>
        </w:tblPrEx>
        <w:trPr>
          <w:trHeight w:val="300" w:hRule="atLeast"/>
          <w:jc w:val="center"/>
        </w:trPr>
        <w:tc>
          <w:tcPr>
            <w:tcW w:w="9471"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1栏各行＝（2＋3）栏各行。</w:t>
            </w:r>
          </w:p>
        </w:tc>
      </w:tr>
    </w:tbl>
    <w:p>
      <w:pPr>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武汉市蔡甸区医疗保障局（本级）2023年度无国有资本经营预算财政拨款收入。</w:t>
      </w:r>
    </w:p>
    <w:p>
      <w:pPr>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16"/>
        <w:tblW w:w="9858" w:type="dxa"/>
        <w:jc w:val="center"/>
        <w:shd w:val="clear" w:color="auto" w:fill="auto"/>
        <w:tblLayout w:type="fixed"/>
        <w:tblCellMar>
          <w:top w:w="0" w:type="dxa"/>
          <w:left w:w="0" w:type="dxa"/>
          <w:bottom w:w="0" w:type="dxa"/>
          <w:right w:w="0" w:type="dxa"/>
        </w:tblCellMar>
      </w:tblPr>
      <w:tblGrid>
        <w:gridCol w:w="600"/>
        <w:gridCol w:w="900"/>
        <w:gridCol w:w="690"/>
        <w:gridCol w:w="851"/>
        <w:gridCol w:w="874"/>
        <w:gridCol w:w="682"/>
        <w:gridCol w:w="682"/>
        <w:gridCol w:w="915"/>
        <w:gridCol w:w="763"/>
        <w:gridCol w:w="808"/>
        <w:gridCol w:w="911"/>
        <w:gridCol w:w="1182"/>
      </w:tblGrid>
      <w:tr>
        <w:tblPrEx>
          <w:shd w:val="clear" w:color="auto" w:fill="auto"/>
          <w:tblCellMar>
            <w:top w:w="0" w:type="dxa"/>
            <w:left w:w="0" w:type="dxa"/>
            <w:bottom w:w="0" w:type="dxa"/>
            <w:right w:w="0" w:type="dxa"/>
          </w:tblCellMar>
        </w:tblPrEx>
        <w:trPr>
          <w:trHeight w:val="555" w:hRule="atLeast"/>
          <w:jc w:val="center"/>
        </w:trPr>
        <w:tc>
          <w:tcPr>
            <w:tcW w:w="9858" w:type="dxa"/>
            <w:gridSpan w:val="1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30"/>
                <w:szCs w:val="30"/>
              </w:rPr>
            </w:pPr>
            <w:r>
              <w:rPr>
                <w:rFonts w:hint="eastAsia" w:ascii="黑体" w:hAnsi="宋体" w:eastAsia="黑体" w:cs="黑体"/>
                <w:i w:val="0"/>
                <w:color w:val="000000"/>
                <w:kern w:val="0"/>
                <w:sz w:val="30"/>
                <w:szCs w:val="30"/>
              </w:rPr>
              <w:t>2023年度财政拨款“三公”经费支出决算表（表9）</w:t>
            </w:r>
          </w:p>
        </w:tc>
      </w:tr>
      <w:tr>
        <w:tblPrEx>
          <w:tblCellMar>
            <w:top w:w="0" w:type="dxa"/>
            <w:left w:w="0" w:type="dxa"/>
            <w:bottom w:w="0" w:type="dxa"/>
            <w:right w:w="0" w:type="dxa"/>
          </w:tblCellMar>
        </w:tblPrEx>
        <w:trPr>
          <w:trHeight w:val="300" w:hRule="atLeast"/>
          <w:jc w:val="center"/>
        </w:trPr>
        <w:tc>
          <w:tcPr>
            <w:tcW w:w="4597" w:type="dxa"/>
            <w:gridSpan w:val="6"/>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部门：武汉市蔡甸区医疗保障局（本级）</w:t>
            </w:r>
          </w:p>
        </w:tc>
        <w:tc>
          <w:tcPr>
            <w:tcW w:w="682"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p>
        </w:tc>
        <w:tc>
          <w:tcPr>
            <w:tcW w:w="915"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p>
        </w:tc>
        <w:tc>
          <w:tcPr>
            <w:tcW w:w="763"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p>
        </w:tc>
        <w:tc>
          <w:tcPr>
            <w:tcW w:w="808"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p>
        </w:tc>
        <w:tc>
          <w:tcPr>
            <w:tcW w:w="911"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0"/>
                <w:sz w:val="18"/>
                <w:szCs w:val="18"/>
              </w:rPr>
            </w:pPr>
          </w:p>
        </w:tc>
        <w:tc>
          <w:tcPr>
            <w:tcW w:w="1182"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金额单位：万元</w:t>
            </w:r>
          </w:p>
        </w:tc>
      </w:tr>
      <w:tr>
        <w:tblPrEx>
          <w:tblCellMar>
            <w:top w:w="0" w:type="dxa"/>
            <w:left w:w="0" w:type="dxa"/>
            <w:bottom w:w="0" w:type="dxa"/>
            <w:right w:w="0" w:type="dxa"/>
          </w:tblCellMar>
        </w:tblPrEx>
        <w:trPr>
          <w:trHeight w:val="300" w:hRule="atLeast"/>
          <w:jc w:val="center"/>
        </w:trPr>
        <w:tc>
          <w:tcPr>
            <w:tcW w:w="4597" w:type="dxa"/>
            <w:gridSpan w:val="6"/>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预算数</w:t>
            </w:r>
          </w:p>
        </w:tc>
        <w:tc>
          <w:tcPr>
            <w:tcW w:w="5261"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决算数</w:t>
            </w:r>
          </w:p>
        </w:tc>
      </w:tr>
      <w:tr>
        <w:tblPrEx>
          <w:tblCellMar>
            <w:top w:w="0" w:type="dxa"/>
            <w:left w:w="0" w:type="dxa"/>
            <w:bottom w:w="0" w:type="dxa"/>
            <w:right w:w="0" w:type="dxa"/>
          </w:tblCellMar>
        </w:tblPrEx>
        <w:trPr>
          <w:trHeight w:val="300" w:hRule="atLeast"/>
          <w:jc w:val="center"/>
        </w:trPr>
        <w:tc>
          <w:tcPr>
            <w:tcW w:w="600"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合计</w:t>
            </w:r>
          </w:p>
        </w:tc>
        <w:tc>
          <w:tcPr>
            <w:tcW w:w="9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因公出国（境）费</w:t>
            </w:r>
          </w:p>
        </w:tc>
        <w:tc>
          <w:tcPr>
            <w:tcW w:w="2415"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公务用车购置及运行维护费</w:t>
            </w:r>
          </w:p>
        </w:tc>
        <w:tc>
          <w:tcPr>
            <w:tcW w:w="68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公务接待费</w:t>
            </w:r>
          </w:p>
        </w:tc>
        <w:tc>
          <w:tcPr>
            <w:tcW w:w="68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合计</w:t>
            </w:r>
          </w:p>
        </w:tc>
        <w:tc>
          <w:tcPr>
            <w:tcW w:w="91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因公出国（境）费</w:t>
            </w:r>
          </w:p>
        </w:tc>
        <w:tc>
          <w:tcPr>
            <w:tcW w:w="2482" w:type="dxa"/>
            <w:gridSpan w:val="3"/>
            <w:tcBorders>
              <w:top w:val="nil"/>
              <w:left w:val="nil"/>
              <w:bottom w:val="nil"/>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公务用车购置及运行维护费</w:t>
            </w:r>
          </w:p>
        </w:tc>
        <w:tc>
          <w:tcPr>
            <w:tcW w:w="118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公务接待费</w:t>
            </w:r>
          </w:p>
        </w:tc>
      </w:tr>
      <w:tr>
        <w:tblPrEx>
          <w:tblCellMar>
            <w:top w:w="0" w:type="dxa"/>
            <w:left w:w="0" w:type="dxa"/>
            <w:bottom w:w="0" w:type="dxa"/>
            <w:right w:w="0" w:type="dxa"/>
          </w:tblCellMar>
        </w:tblPrEx>
        <w:trPr>
          <w:trHeight w:val="600" w:hRule="atLeast"/>
          <w:jc w:val="center"/>
        </w:trPr>
        <w:tc>
          <w:tcPr>
            <w:tcW w:w="600"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9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6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小计</w:t>
            </w:r>
          </w:p>
        </w:tc>
        <w:tc>
          <w:tcPr>
            <w:tcW w:w="85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公务用车购置费</w:t>
            </w:r>
          </w:p>
        </w:tc>
        <w:tc>
          <w:tcPr>
            <w:tcW w:w="87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公务用车运行维护费</w:t>
            </w:r>
          </w:p>
        </w:tc>
        <w:tc>
          <w:tcPr>
            <w:tcW w:w="68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68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91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c>
          <w:tcPr>
            <w:tcW w:w="76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小计</w:t>
            </w:r>
          </w:p>
        </w:tc>
        <w:tc>
          <w:tcPr>
            <w:tcW w:w="80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公务用车购置费</w:t>
            </w:r>
          </w:p>
        </w:tc>
        <w:tc>
          <w:tcPr>
            <w:tcW w:w="91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公务用车运行维护费</w:t>
            </w:r>
          </w:p>
        </w:tc>
        <w:tc>
          <w:tcPr>
            <w:tcW w:w="118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300" w:hRule="atLeast"/>
          <w:jc w:val="center"/>
        </w:trPr>
        <w:tc>
          <w:tcPr>
            <w:tcW w:w="60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w:t>
            </w:r>
          </w:p>
        </w:tc>
        <w:tc>
          <w:tcPr>
            <w:tcW w:w="9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w:t>
            </w:r>
          </w:p>
        </w:tc>
        <w:tc>
          <w:tcPr>
            <w:tcW w:w="6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w:t>
            </w:r>
          </w:p>
        </w:tc>
        <w:tc>
          <w:tcPr>
            <w:tcW w:w="85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w:t>
            </w:r>
          </w:p>
        </w:tc>
        <w:tc>
          <w:tcPr>
            <w:tcW w:w="87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w:t>
            </w:r>
          </w:p>
        </w:tc>
        <w:tc>
          <w:tcPr>
            <w:tcW w:w="68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w:t>
            </w:r>
          </w:p>
        </w:tc>
        <w:tc>
          <w:tcPr>
            <w:tcW w:w="68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w:t>
            </w:r>
          </w:p>
        </w:tc>
        <w:tc>
          <w:tcPr>
            <w:tcW w:w="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8</w:t>
            </w:r>
          </w:p>
        </w:tc>
        <w:tc>
          <w:tcPr>
            <w:tcW w:w="76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w:t>
            </w:r>
          </w:p>
        </w:tc>
        <w:tc>
          <w:tcPr>
            <w:tcW w:w="80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10</w:t>
            </w:r>
          </w:p>
        </w:tc>
        <w:tc>
          <w:tcPr>
            <w:tcW w:w="91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11</w:t>
            </w:r>
          </w:p>
        </w:tc>
        <w:tc>
          <w:tcPr>
            <w:tcW w:w="118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w:t>
            </w:r>
          </w:p>
        </w:tc>
      </w:tr>
      <w:tr>
        <w:tblPrEx>
          <w:tblCellMar>
            <w:top w:w="0" w:type="dxa"/>
            <w:left w:w="0" w:type="dxa"/>
            <w:bottom w:w="0" w:type="dxa"/>
            <w:right w:w="0" w:type="dxa"/>
          </w:tblCellMar>
        </w:tblPrEx>
        <w:trPr>
          <w:trHeight w:val="300" w:hRule="atLeast"/>
          <w:jc w:val="center"/>
        </w:trPr>
        <w:tc>
          <w:tcPr>
            <w:tcW w:w="600" w:type="dxa"/>
            <w:tcBorders>
              <w:top w:val="nil"/>
              <w:left w:val="single" w:color="000000" w:sz="4" w:space="0"/>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69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85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8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6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68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763"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8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9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c>
          <w:tcPr>
            <w:tcW w:w="11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kern w:val="0"/>
                <w:sz w:val="20"/>
                <w:szCs w:val="20"/>
              </w:rPr>
            </w:pPr>
          </w:p>
        </w:tc>
      </w:tr>
      <w:tr>
        <w:tblPrEx>
          <w:tblCellMar>
            <w:top w:w="0" w:type="dxa"/>
            <w:left w:w="0" w:type="dxa"/>
            <w:bottom w:w="0" w:type="dxa"/>
            <w:right w:w="0" w:type="dxa"/>
          </w:tblCellMar>
        </w:tblPrEx>
        <w:trPr>
          <w:trHeight w:val="600" w:hRule="atLeast"/>
          <w:jc w:val="center"/>
        </w:trPr>
        <w:tc>
          <w:tcPr>
            <w:tcW w:w="9858" w:type="dxa"/>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注：本表反映部门本年度财政拨款“三公”经费支出预决算情况。其中，预算数为“三公”经费全年预算数，反映按规定程序调整后的预算数；决算数是包括当年财政拨款和以前年度结转资金安排的实际支出。           </w:t>
            </w:r>
          </w:p>
        </w:tc>
      </w:tr>
      <w:tr>
        <w:tblPrEx>
          <w:tblCellMar>
            <w:top w:w="0" w:type="dxa"/>
            <w:left w:w="0" w:type="dxa"/>
            <w:bottom w:w="0" w:type="dxa"/>
            <w:right w:w="0" w:type="dxa"/>
          </w:tblCellMar>
        </w:tblPrEx>
        <w:trPr>
          <w:trHeight w:val="360" w:hRule="atLeast"/>
          <w:jc w:val="center"/>
        </w:trPr>
        <w:tc>
          <w:tcPr>
            <w:tcW w:w="9858" w:type="dxa"/>
            <w:gridSpan w:val="1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1栏＝（2＋3＋6）栏；3栏＝（4＋5）栏；7栏＝（8＋9＋12）栏；9栏=（10+11）栏。</w:t>
            </w:r>
          </w:p>
        </w:tc>
      </w:tr>
    </w:tbl>
    <w:p>
      <w:pPr>
        <w:spacing w:before="0" w:beforeAutospacing="1" w:after="0" w:afterAutospacing="1"/>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武汉市蔡甸区医疗保障局（本级）2023年度无财政拨款“三公”经费支出。</w:t>
      </w:r>
    </w:p>
    <w:p>
      <w:pPr>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before="0" w:beforeAutospacing="1" w:after="0" w:afterAutospacing="1"/>
        <w:rPr>
          <w:rFonts w:hint="eastAsia" w:ascii="宋体" w:hAnsi="宋体" w:eastAsia="宋体" w:cs="Times New Roman"/>
          <w:b/>
          <w:kern w:val="44"/>
          <w:sz w:val="44"/>
          <w:szCs w:val="44"/>
        </w:rPr>
      </w:pPr>
      <w:r>
        <w:rPr>
          <w:rFonts w:hint="eastAsia" w:ascii="宋体" w:hAnsi="宋体" w:eastAsia="宋体" w:cs="Times New Roman"/>
          <w:b/>
          <w:kern w:val="44"/>
          <w:sz w:val="44"/>
          <w:szCs w:val="44"/>
        </w:rPr>
        <w:t xml:space="preserve"> </w:t>
      </w:r>
    </w:p>
    <w:p>
      <w:pPr>
        <w:spacing w:before="0" w:beforeAutospacing="1" w:after="0" w:afterAutospacing="1"/>
        <w:rPr>
          <w:rFonts w:hint="eastAsia" w:ascii="宋体" w:hAnsi="宋体" w:eastAsia="宋体" w:cs="Times New Roman"/>
          <w:b/>
          <w:kern w:val="44"/>
          <w:sz w:val="44"/>
          <w:szCs w:val="44"/>
        </w:rPr>
      </w:pPr>
      <w:r>
        <w:rPr>
          <w:rFonts w:hint="eastAsia" w:ascii="宋体" w:hAnsi="宋体" w:eastAsia="宋体" w:cs="Times New Roman"/>
          <w:b/>
          <w:kern w:val="44"/>
          <w:sz w:val="44"/>
          <w:szCs w:val="44"/>
        </w:rPr>
        <w:t xml:space="preserve"> </w:t>
      </w:r>
    </w:p>
    <w:p>
      <w:pPr>
        <w:spacing w:before="0" w:beforeAutospacing="1" w:after="0" w:afterAutospacing="1"/>
        <w:rPr>
          <w:rFonts w:hint="eastAsia" w:ascii="宋体" w:hAnsi="宋体" w:eastAsia="宋体" w:cs="Times New Roman"/>
          <w:b/>
          <w:kern w:val="44"/>
          <w:sz w:val="44"/>
          <w:szCs w:val="44"/>
        </w:rPr>
      </w:pPr>
      <w:r>
        <w:rPr>
          <w:rFonts w:hint="eastAsia" w:ascii="宋体" w:hAnsi="宋体" w:eastAsia="宋体" w:cs="Times New Roman"/>
          <w:b/>
          <w:kern w:val="44"/>
          <w:sz w:val="44"/>
          <w:szCs w:val="44"/>
        </w:rPr>
        <w:t xml:space="preserve"> </w:t>
      </w:r>
    </w:p>
    <w:p>
      <w:pPr>
        <w:spacing w:before="0" w:beforeAutospacing="1" w:after="0" w:afterAutospacing="1"/>
        <w:rPr>
          <w:rFonts w:hint="eastAsia" w:ascii="宋体" w:hAnsi="宋体" w:eastAsia="宋体" w:cs="Times New Roman"/>
          <w:b/>
          <w:kern w:val="44"/>
          <w:sz w:val="44"/>
          <w:szCs w:val="44"/>
        </w:rPr>
      </w:pPr>
      <w:r>
        <w:rPr>
          <w:rFonts w:hint="eastAsia" w:ascii="宋体" w:hAnsi="宋体" w:eastAsia="宋体" w:cs="Times New Roman"/>
          <w:b/>
          <w:kern w:val="44"/>
          <w:sz w:val="44"/>
          <w:szCs w:val="44"/>
        </w:rPr>
        <w:t xml:space="preserve"> </w:t>
      </w:r>
    </w:p>
    <w:p>
      <w:pPr>
        <w:spacing w:before="0" w:beforeAutospacing="1" w:after="0" w:afterAutospacing="1"/>
        <w:rPr>
          <w:rFonts w:hint="eastAsia" w:ascii="宋体" w:hAnsi="宋体" w:eastAsia="宋体" w:cs="Times New Roman"/>
          <w:b/>
          <w:kern w:val="44"/>
          <w:sz w:val="44"/>
          <w:szCs w:val="44"/>
        </w:rPr>
      </w:pPr>
      <w:r>
        <w:rPr>
          <w:rFonts w:hint="eastAsia" w:ascii="宋体" w:hAnsi="宋体" w:eastAsia="宋体" w:cs="Times New Roman"/>
          <w:b/>
          <w:kern w:val="44"/>
          <w:sz w:val="44"/>
          <w:szCs w:val="44"/>
        </w:rPr>
        <w:t xml:space="preserve"> </w:t>
      </w:r>
    </w:p>
    <w:p>
      <w:pPr>
        <w:spacing w:before="0" w:beforeAutospacing="1" w:after="0" w:afterAutospacing="1"/>
        <w:rPr>
          <w:rFonts w:hint="eastAsia" w:ascii="宋体" w:hAnsi="宋体" w:eastAsia="宋体" w:cs="Times New Roman"/>
          <w:b/>
          <w:kern w:val="44"/>
          <w:sz w:val="44"/>
          <w:szCs w:val="44"/>
        </w:rPr>
      </w:pPr>
      <w:r>
        <w:rPr>
          <w:rFonts w:hint="eastAsia" w:ascii="宋体" w:hAnsi="宋体" w:eastAsia="宋体" w:cs="Times New Roman"/>
          <w:b/>
          <w:kern w:val="44"/>
          <w:sz w:val="44"/>
          <w:szCs w:val="44"/>
        </w:rPr>
        <w:t xml:space="preserve"> </w:t>
      </w:r>
    </w:p>
    <w:p>
      <w:pPr>
        <w:spacing w:before="0" w:beforeAutospacing="1" w:after="0" w:afterAutospacing="1"/>
        <w:jc w:val="center"/>
        <w:rPr>
          <w:rFonts w:hint="default" w:ascii="Times New Roman" w:hAnsi="Times New Roman" w:eastAsia="宋体" w:cs="Times New Roman"/>
          <w:b/>
          <w:kern w:val="44"/>
          <w:sz w:val="44"/>
          <w:szCs w:val="44"/>
        </w:rPr>
      </w:pPr>
      <w:r>
        <w:rPr>
          <w:rFonts w:hint="eastAsia" w:ascii="宋体" w:hAnsi="宋体" w:eastAsia="宋体" w:cs="宋体"/>
          <w:b/>
          <w:kern w:val="44"/>
          <w:sz w:val="44"/>
          <w:szCs w:val="44"/>
        </w:rPr>
        <w:t>第三部分</w:t>
      </w:r>
      <w:r>
        <w:rPr>
          <w:rFonts w:hint="default" w:ascii="Times New Roman" w:hAnsi="Times New Roman" w:eastAsia="宋体" w:cs="Times New Roman"/>
          <w:b/>
          <w:kern w:val="44"/>
          <w:sz w:val="44"/>
          <w:szCs w:val="44"/>
        </w:rPr>
        <w:t xml:space="preserve">  </w:t>
      </w:r>
      <w:r>
        <w:rPr>
          <w:rFonts w:hint="eastAsia" w:ascii="宋体" w:hAnsi="宋体" w:eastAsia="宋体" w:cs="宋体"/>
          <w:b/>
          <w:kern w:val="44"/>
          <w:sz w:val="44"/>
          <w:szCs w:val="44"/>
        </w:rPr>
        <w:t>武汉市蔡甸区医疗保障局（本级）</w:t>
      </w:r>
      <w:r>
        <w:rPr>
          <w:rFonts w:hint="default" w:ascii="Times New Roman" w:hAnsi="Times New Roman" w:eastAsia="宋体" w:cs="Times New Roman"/>
          <w:b/>
          <w:kern w:val="44"/>
          <w:sz w:val="44"/>
          <w:szCs w:val="44"/>
        </w:rPr>
        <w:t>202</w:t>
      </w:r>
      <w:r>
        <w:rPr>
          <w:rFonts w:hint="eastAsia" w:ascii="Times New Roman" w:hAnsi="Times New Roman" w:eastAsia="宋体" w:cs="Times New Roman"/>
          <w:b/>
          <w:kern w:val="44"/>
          <w:sz w:val="44"/>
          <w:szCs w:val="44"/>
        </w:rPr>
        <w:t>3</w:t>
      </w:r>
      <w:r>
        <w:rPr>
          <w:rFonts w:hint="eastAsia" w:ascii="宋体" w:hAnsi="宋体" w:eastAsia="宋体" w:cs="宋体"/>
          <w:b/>
          <w:kern w:val="44"/>
          <w:sz w:val="44"/>
          <w:szCs w:val="44"/>
        </w:rPr>
        <w:t>年度</w:t>
      </w:r>
    </w:p>
    <w:p>
      <w:pPr>
        <w:spacing w:before="0" w:beforeAutospacing="1" w:after="0" w:afterAutospacing="1"/>
        <w:jc w:val="center"/>
        <w:rPr>
          <w:rFonts w:hint="default" w:ascii="Calibri" w:hAnsi="Calibri" w:eastAsia="宋体" w:cs="Times New Roman"/>
          <w:kern w:val="2"/>
          <w:sz w:val="21"/>
          <w:szCs w:val="21"/>
        </w:rPr>
      </w:pPr>
      <w:r>
        <w:rPr>
          <w:rFonts w:hint="eastAsia" w:ascii="宋体" w:hAnsi="宋体" w:eastAsia="宋体" w:cs="宋体"/>
          <w:b/>
          <w:kern w:val="44"/>
          <w:sz w:val="44"/>
          <w:szCs w:val="44"/>
        </w:rPr>
        <w:t>部门决算情况说明</w:t>
      </w:r>
    </w:p>
    <w:p>
      <w:pPr>
        <w:adjustRightInd w:val="0"/>
        <w:snapToGrid w:val="0"/>
        <w:spacing w:before="0" w:beforeAutospacing="1" w:after="0" w:afterAutospacing="1" w:line="580" w:lineRule="atLeast"/>
        <w:ind w:lef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一、收入支出决算总体情况说明</w:t>
      </w:r>
    </w:p>
    <w:p>
      <w:pPr>
        <w:adjustRightInd w:val="0"/>
        <w:snapToGrid w:val="0"/>
        <w:spacing w:before="0" w:beforeAutospacing="1" w:after="0" w:afterAutospacing="1" w:line="580" w:lineRule="atLeast"/>
        <w:ind w:left="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2023年度收、支总计442.86万元。与2022年度相比，收、支总计各减少</w:t>
      </w:r>
      <w:bookmarkStart w:id="9" w:name="OLE_LINK10"/>
      <w:bookmarkEnd w:id="9"/>
      <w:r>
        <w:rPr>
          <w:rFonts w:hint="eastAsia" w:ascii="仿宋" w:hAnsi="仿宋" w:eastAsia="仿宋" w:cs="仿宋"/>
          <w:kern w:val="2"/>
          <w:sz w:val="32"/>
          <w:szCs w:val="32"/>
        </w:rPr>
        <w:t>2747.51万元，</w:t>
      </w:r>
      <w:r>
        <w:rPr>
          <w:rFonts w:hint="eastAsia" w:ascii="仿宋" w:hAnsi="仿宋" w:eastAsia="仿宋" w:cs="仿宋"/>
          <w:kern w:val="2"/>
          <w:sz w:val="32"/>
          <w:szCs w:val="32"/>
          <w:highlight w:val="none"/>
        </w:rPr>
        <w:t>减少</w:t>
      </w:r>
      <w:bookmarkStart w:id="10" w:name="OLE_LINK11"/>
      <w:bookmarkEnd w:id="10"/>
      <w:r>
        <w:rPr>
          <w:rFonts w:hint="eastAsia" w:ascii="仿宋" w:hAnsi="仿宋" w:eastAsia="仿宋" w:cs="仿宋"/>
          <w:kern w:val="2"/>
          <w:sz w:val="32"/>
          <w:szCs w:val="32"/>
          <w:highlight w:val="none"/>
          <w:lang w:val="en-US" w:eastAsia="zh-CN"/>
        </w:rPr>
        <w:t>86.12</w:t>
      </w:r>
      <w:r>
        <w:rPr>
          <w:rFonts w:hint="eastAsia" w:ascii="仿宋" w:hAnsi="仿宋" w:eastAsia="仿宋" w:cs="仿宋"/>
          <w:kern w:val="2"/>
          <w:sz w:val="32"/>
          <w:szCs w:val="32"/>
          <w:highlight w:val="none"/>
        </w:rPr>
        <w:t>%，</w:t>
      </w:r>
      <w:bookmarkStart w:id="11" w:name="OLE_LINK55"/>
      <w:r>
        <w:rPr>
          <w:rFonts w:hint="eastAsia" w:ascii="仿宋" w:hAnsi="仿宋" w:eastAsia="仿宋" w:cs="仿宋"/>
          <w:kern w:val="2"/>
          <w:sz w:val="32"/>
          <w:szCs w:val="32"/>
          <w:highlight w:val="none"/>
        </w:rPr>
        <w:t>主要原因是202</w:t>
      </w:r>
      <w:r>
        <w:rPr>
          <w:rFonts w:hint="eastAsia" w:ascii="仿宋" w:hAnsi="仿宋" w:eastAsia="仿宋" w:cs="仿宋"/>
          <w:kern w:val="2"/>
          <w:sz w:val="32"/>
          <w:szCs w:val="32"/>
          <w:highlight w:val="none"/>
          <w:lang w:val="en-US" w:eastAsia="zh-CN"/>
        </w:rPr>
        <w:t>3</w:t>
      </w:r>
      <w:r>
        <w:rPr>
          <w:rFonts w:hint="eastAsia" w:ascii="仿宋" w:hAnsi="仿宋" w:eastAsia="仿宋" w:cs="仿宋"/>
          <w:kern w:val="2"/>
          <w:sz w:val="32"/>
          <w:szCs w:val="32"/>
          <w:highlight w:val="none"/>
        </w:rPr>
        <w:t>年医疗救助</w:t>
      </w:r>
      <w:r>
        <w:rPr>
          <w:rFonts w:hint="eastAsia" w:ascii="仿宋" w:hAnsi="仿宋" w:eastAsia="仿宋" w:cs="仿宋"/>
          <w:kern w:val="2"/>
          <w:sz w:val="32"/>
          <w:szCs w:val="32"/>
          <w:highlight w:val="none"/>
          <w:lang w:eastAsia="zh-CN"/>
        </w:rPr>
        <w:t>资金划拨到医保中心</w:t>
      </w:r>
      <w:r>
        <w:rPr>
          <w:rFonts w:hint="eastAsia" w:ascii="仿宋" w:hAnsi="仿宋" w:eastAsia="仿宋" w:cs="仿宋"/>
          <w:kern w:val="2"/>
          <w:sz w:val="32"/>
          <w:szCs w:val="32"/>
        </w:rPr>
        <w:t>。</w:t>
      </w:r>
      <w:bookmarkEnd w:id="11"/>
    </w:p>
    <w:p>
      <w:pPr>
        <w:adjustRightInd w:val="0"/>
        <w:snapToGrid w:val="0"/>
        <w:spacing w:before="0" w:beforeAutospacing="1" w:after="0" w:afterAutospacing="1" w:line="580" w:lineRule="atLeast"/>
        <w:ind w:left="0" w:firstLine="480" w:firstLineChars="200"/>
        <w:jc w:val="center"/>
        <w:rPr>
          <w:rFonts w:hint="default" w:ascii="serif" w:hAnsi="serif" w:eastAsia="serif" w:cs="serif"/>
          <w:kern w:val="2"/>
          <w:sz w:val="32"/>
          <w:szCs w:val="32"/>
        </w:rPr>
      </w:pPr>
      <w:r>
        <w:drawing>
          <wp:inline distT="0" distB="0" distL="114300" distR="114300">
            <wp:extent cx="1123950" cy="2762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a:stretch>
                      <a:fillRect/>
                    </a:stretch>
                  </pic:blipFill>
                  <pic:spPr>
                    <a:xfrm>
                      <a:off x="0" y="0"/>
                      <a:ext cx="1123950" cy="276225"/>
                    </a:xfrm>
                    <a:prstGeom prst="rect">
                      <a:avLst/>
                    </a:prstGeom>
                    <a:noFill/>
                    <a:ln w="9525">
                      <a:noFill/>
                    </a:ln>
                  </pic:spPr>
                </pic:pic>
              </a:graphicData>
            </a:graphic>
          </wp:inline>
        </w:drawing>
      </w:r>
      <w:r>
        <w:rPr>
          <w:rFonts w:hint="eastAsia" w:ascii="宋体" w:hAnsi="宋体" w:eastAsia="宋体" w:cs="宋体"/>
          <w:kern w:val="2"/>
          <w:sz w:val="32"/>
          <w:szCs w:val="32"/>
        </w:rPr>
        <w:t>图1</w:t>
      </w:r>
      <w:r>
        <w:rPr>
          <w:rFonts w:hint="default" w:ascii="serif" w:hAnsi="serif" w:eastAsia="serif" w:cs="serif"/>
          <w:kern w:val="2"/>
          <w:sz w:val="32"/>
          <w:szCs w:val="32"/>
        </w:rPr>
        <w:t>：</w:t>
      </w:r>
      <w:bookmarkStart w:id="12" w:name="OLE_LINK13"/>
      <w:r>
        <w:rPr>
          <w:rFonts w:hint="default" w:ascii="serif" w:hAnsi="serif" w:eastAsia="serif" w:cs="serif"/>
          <w:kern w:val="2"/>
          <w:sz w:val="32"/>
          <w:szCs w:val="32"/>
        </w:rPr>
        <w:t>收、支决算总计变动情况</w:t>
      </w:r>
      <w:bookmarkEnd w:id="12"/>
    </w:p>
    <w:p>
      <w:pPr>
        <w:adjustRightInd w:val="0"/>
        <w:snapToGrid w:val="0"/>
        <w:spacing w:before="0" w:beforeAutospacing="1" w:after="0" w:afterAutospacing="1" w:line="580" w:lineRule="atLeast"/>
        <w:ind w:left="0" w:firstLine="640" w:firstLineChars="200"/>
        <w:jc w:val="center"/>
        <w:rPr>
          <w:rFonts w:hint="eastAsia" w:ascii="serif" w:hAnsi="serif" w:eastAsia="宋体" w:cs="serif"/>
          <w:kern w:val="2"/>
          <w:sz w:val="32"/>
          <w:szCs w:val="32"/>
          <w:lang w:eastAsia="zh-CN"/>
        </w:rPr>
      </w:pPr>
      <w:r>
        <w:rPr>
          <w:rFonts w:hint="default" w:ascii="serif" w:hAnsi="serif" w:eastAsia="serif" w:cs="serif"/>
          <w:kern w:val="2"/>
          <w:sz w:val="32"/>
          <w:szCs w:val="32"/>
        </w:rPr>
        <w:t xml:space="preserve"> </w:t>
      </w:r>
      <w:r>
        <w:rPr>
          <w:rFonts w:hint="eastAsia" w:ascii="serif" w:hAnsi="serif" w:eastAsia="宋体" w:cs="serif"/>
          <w:kern w:val="2"/>
          <w:sz w:val="32"/>
          <w:szCs w:val="32"/>
          <w:lang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adjustRightInd w:val="0"/>
        <w:snapToGrid w:val="0"/>
        <w:spacing w:before="0" w:beforeAutospacing="1" w:after="0" w:afterAutospacing="1" w:line="580" w:lineRule="atLeast"/>
        <w:ind w:left="0" w:firstLine="640" w:firstLineChars="200"/>
        <w:rPr>
          <w:rFonts w:hint="default" w:ascii="serif" w:hAnsi="serif" w:eastAsia="serif" w:cs="serif"/>
          <w:kern w:val="2"/>
          <w:sz w:val="32"/>
          <w:szCs w:val="32"/>
        </w:rPr>
      </w:pPr>
      <w:r>
        <w:rPr>
          <w:rFonts w:hint="default" w:ascii="serif" w:hAnsi="serif" w:eastAsia="serif" w:cs="serif"/>
          <w:kern w:val="2"/>
          <w:sz w:val="32"/>
          <w:szCs w:val="32"/>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adjustRightInd w:val="0"/>
        <w:snapToGrid w:val="0"/>
        <w:spacing w:before="0" w:beforeAutospacing="1" w:after="0" w:afterAutospacing="1" w:line="580" w:lineRule="atLeast"/>
        <w:ind w:lef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二、收入决算情况说明</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2023年度收入合计442.86万元。其中：财政拨款收入 442.86万元，占本年收入100.00%。</w:t>
      </w:r>
    </w:p>
    <w:p>
      <w:pPr>
        <w:keepNext w:val="0"/>
        <w:keepLines w:val="0"/>
        <w:widowControl w:val="0"/>
        <w:suppressLineNumbers w:val="0"/>
        <w:adjustRightInd w:val="0"/>
        <w:snapToGrid w:val="0"/>
        <w:spacing w:before="0" w:beforeAutospacing="1" w:after="0" w:afterAutospacing="1" w:line="360" w:lineRule="auto"/>
        <w:ind w:left="0" w:firstLine="640" w:firstLineChars="200"/>
        <w:jc w:val="center"/>
      </w:pPr>
      <w:r>
        <w:rPr>
          <w:rFonts w:hint="eastAsia" w:ascii="仿宋" w:hAnsi="仿宋" w:eastAsia="仿宋" w:cs="仿宋"/>
          <w:kern w:val="44"/>
          <w:sz w:val="32"/>
          <w:szCs w:val="32"/>
        </w:rPr>
        <w:t>图2：收入决算结构</w:t>
      </w:r>
      <w:r>
        <w:fldChar w:fldCharType="begin"/>
      </w:r>
      <w:r>
        <w:instrText xml:space="preserve">INCLUDEPICTURE \d "C:\\Users\\Administrator\\AppData\\Local\\Temp\\~tmp1731036626\\Users\\Administrator\\AppData\\Local\\Temp\\~tmp{21a62f84-c44c-4da6-b16c-6f35a8ae0b88}1705926.files\\~tmp{21a62f84-c44c-4da6-b16c-6f35a8ae0b88}17059269988.png" \* MERGEFORMATINET </w:instrText>
      </w:r>
      <w:r>
        <w:fldChar w:fldCharType="separate"/>
      </w:r>
      <w:r>
        <w:drawing>
          <wp:inline distT="0" distB="0" distL="114300" distR="114300">
            <wp:extent cx="5334000" cy="3543300"/>
            <wp:effectExtent l="0" t="0" r="0" b="0"/>
            <wp:docPr id="8" name="图片 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8"/>
                    <pic:cNvPicPr>
                      <a:picLocks noChangeAspect="1"/>
                    </pic:cNvPicPr>
                  </pic:nvPicPr>
                  <pic:blipFill>
                    <a:blip r:embed="rId5"/>
                    <a:stretch>
                      <a:fillRect/>
                    </a:stretch>
                  </pic:blipFill>
                  <pic:spPr>
                    <a:xfrm>
                      <a:off x="0" y="0"/>
                      <a:ext cx="5334000" cy="3543300"/>
                    </a:xfrm>
                    <a:prstGeom prst="rect">
                      <a:avLst/>
                    </a:prstGeom>
                    <a:noFill/>
                    <a:ln w="9525">
                      <a:noFill/>
                    </a:ln>
                  </pic:spPr>
                </pic:pic>
              </a:graphicData>
            </a:graphic>
          </wp:inline>
        </w:drawing>
      </w:r>
      <w:r>
        <w:fldChar w:fldCharType="end"/>
      </w:r>
    </w:p>
    <w:p>
      <w:pPr>
        <w:kinsoku/>
        <w:ind w:left="642"/>
        <w:jc w:val="both"/>
        <w:rPr>
          <w:rFonts w:hint="default"/>
        </w:rPr>
      </w:pPr>
      <w:r>
        <w:rPr>
          <w:rFonts w:ascii="黑体" w:hAnsi="黑体" w:eastAsia="黑体" w:cs="黑体"/>
          <w:spacing w:val="-2"/>
          <w:sz w:val="32"/>
          <w:szCs w:val="32"/>
        </w:rPr>
        <w:t>三、支出决算情况说明</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2023年度支出合计442.86万元。其中：基本支出243.12万元，占本年支出54.9%；项目支出199.74万元，占本年支出45.1%。</w:t>
      </w:r>
    </w:p>
    <w:p>
      <w:pPr>
        <w:keepNext w:val="0"/>
        <w:keepLines w:val="0"/>
        <w:widowControl w:val="0"/>
        <w:suppressLineNumbers w:val="0"/>
        <w:adjustRightInd w:val="0"/>
        <w:snapToGrid w:val="0"/>
        <w:spacing w:before="0" w:beforeAutospacing="1" w:after="0" w:afterAutospacing="1" w:line="360" w:lineRule="auto"/>
        <w:ind w:left="0" w:firstLine="640" w:firstLineChars="200"/>
        <w:jc w:val="center"/>
        <w:rPr>
          <w:rFonts w:hint="eastAsia" w:ascii="仿宋" w:hAnsi="仿宋" w:eastAsia="仿宋" w:cs="仿宋"/>
          <w:kern w:val="44"/>
          <w:sz w:val="32"/>
          <w:szCs w:val="32"/>
        </w:rPr>
      </w:pPr>
      <w:r>
        <w:rPr>
          <w:rFonts w:hint="eastAsia" w:ascii="仿宋" w:hAnsi="仿宋" w:eastAsia="仿宋" w:cs="仿宋"/>
          <w:kern w:val="44"/>
          <w:sz w:val="32"/>
          <w:szCs w:val="32"/>
        </w:rPr>
        <w:t>图3：支出决算结构</w:t>
      </w:r>
      <w:r>
        <w:fldChar w:fldCharType="begin"/>
      </w:r>
      <w:r>
        <w:instrText xml:space="preserve">INCLUDEPICTURE \d "C:\\Users\\Administrator\\AppData\\Local\\Temp\\~tmp1731036626\\Users\\Administrator\\AppData\\Local\\Temp\\~tmp{21a62f84-c44c-4da6-b16c-6f35a8ae0b88}1705926.files\\~tmp{21a62f84-c44c-4da6-b16c-6f35a8ae0b88}170592610336.png" \* MERGEFORMATINET </w:instrText>
      </w:r>
      <w:r>
        <w:fldChar w:fldCharType="separate"/>
      </w:r>
      <w:r>
        <w:drawing>
          <wp:inline distT="0" distB="0" distL="114300" distR="114300">
            <wp:extent cx="5000625" cy="2990850"/>
            <wp:effectExtent l="0" t="0" r="9525" b="0"/>
            <wp:docPr id="9" name="图片 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9"/>
                    <pic:cNvPicPr>
                      <a:picLocks noChangeAspect="1"/>
                    </pic:cNvPicPr>
                  </pic:nvPicPr>
                  <pic:blipFill>
                    <a:blip r:embed="rId6"/>
                    <a:stretch>
                      <a:fillRect/>
                    </a:stretch>
                  </pic:blipFill>
                  <pic:spPr>
                    <a:xfrm>
                      <a:off x="0" y="0"/>
                      <a:ext cx="5000625" cy="2990850"/>
                    </a:xfrm>
                    <a:prstGeom prst="rect">
                      <a:avLst/>
                    </a:prstGeom>
                    <a:noFill/>
                    <a:ln w="9525">
                      <a:noFill/>
                    </a:ln>
                  </pic:spPr>
                </pic:pic>
              </a:graphicData>
            </a:graphic>
          </wp:inline>
        </w:drawing>
      </w:r>
      <w:r>
        <w:fldChar w:fldCharType="end"/>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 xml:space="preserve"> </w:t>
      </w:r>
    </w:p>
    <w:p>
      <w:pPr>
        <w:adjustRightInd w:val="0"/>
        <w:snapToGrid w:val="0"/>
        <w:spacing w:before="0" w:beforeAutospacing="1" w:after="0" w:afterAutospacing="1" w:line="580" w:lineRule="atLeast"/>
        <w:ind w:lef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四、财政拨款收入支出决算总体情况说明</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2023年度财政拨款收、支总计442.8</w:t>
      </w:r>
      <w:r>
        <w:rPr>
          <w:rFonts w:hint="eastAsia" w:ascii="仿宋" w:hAnsi="仿宋" w:eastAsia="仿宋" w:cs="仿宋"/>
          <w:kern w:val="44"/>
          <w:sz w:val="32"/>
          <w:szCs w:val="32"/>
          <w:lang w:val="en-US" w:eastAsia="zh-CN"/>
        </w:rPr>
        <w:t>6</w:t>
      </w:r>
      <w:r>
        <w:rPr>
          <w:rFonts w:hint="eastAsia" w:ascii="仿宋" w:hAnsi="仿宋" w:eastAsia="仿宋" w:cs="仿宋"/>
          <w:kern w:val="44"/>
          <w:sz w:val="32"/>
          <w:szCs w:val="32"/>
        </w:rPr>
        <w:t>万元。与2022年度相比，财政拨款收、支各减少</w:t>
      </w:r>
      <w:r>
        <w:rPr>
          <w:rFonts w:hint="eastAsia" w:ascii="仿宋" w:hAnsi="仿宋" w:eastAsia="仿宋" w:cs="仿宋"/>
          <w:kern w:val="2"/>
          <w:sz w:val="32"/>
          <w:szCs w:val="32"/>
          <w:lang w:val="en-US" w:eastAsia="zh-CN"/>
        </w:rPr>
        <w:t>2673.6</w:t>
      </w:r>
      <w:r>
        <w:rPr>
          <w:rFonts w:hint="eastAsia" w:ascii="仿宋" w:hAnsi="仿宋" w:eastAsia="仿宋" w:cs="仿宋"/>
          <w:kern w:val="44"/>
          <w:sz w:val="32"/>
          <w:szCs w:val="32"/>
        </w:rPr>
        <w:t>万元，</w:t>
      </w:r>
      <w:r>
        <w:rPr>
          <w:rFonts w:hint="eastAsia" w:ascii="仿宋" w:hAnsi="仿宋" w:eastAsia="仿宋" w:cs="仿宋"/>
          <w:kern w:val="44"/>
          <w:sz w:val="32"/>
          <w:szCs w:val="32"/>
          <w:highlight w:val="none"/>
        </w:rPr>
        <w:t>减少</w:t>
      </w:r>
      <w:r>
        <w:rPr>
          <w:rFonts w:hint="eastAsia" w:ascii="仿宋" w:hAnsi="仿宋" w:eastAsia="仿宋" w:cs="仿宋"/>
          <w:kern w:val="44"/>
          <w:sz w:val="32"/>
          <w:szCs w:val="32"/>
          <w:highlight w:val="none"/>
          <w:lang w:val="en-US" w:eastAsia="zh-CN"/>
        </w:rPr>
        <w:t>85.79</w:t>
      </w:r>
      <w:r>
        <w:rPr>
          <w:rFonts w:hint="eastAsia" w:ascii="仿宋" w:hAnsi="仿宋" w:eastAsia="仿宋" w:cs="仿宋"/>
          <w:kern w:val="44"/>
          <w:sz w:val="32"/>
          <w:szCs w:val="32"/>
          <w:highlight w:val="none"/>
        </w:rPr>
        <w:t>%，</w:t>
      </w:r>
      <w:r>
        <w:rPr>
          <w:rFonts w:hint="eastAsia" w:ascii="仿宋" w:hAnsi="仿宋" w:eastAsia="仿宋" w:cs="仿宋"/>
          <w:kern w:val="2"/>
          <w:sz w:val="32"/>
          <w:szCs w:val="32"/>
          <w:highlight w:val="none"/>
        </w:rPr>
        <w:t>主要原因是202</w:t>
      </w:r>
      <w:r>
        <w:rPr>
          <w:rFonts w:hint="eastAsia" w:ascii="仿宋" w:hAnsi="仿宋" w:eastAsia="仿宋" w:cs="仿宋"/>
          <w:kern w:val="2"/>
          <w:sz w:val="32"/>
          <w:szCs w:val="32"/>
          <w:highlight w:val="none"/>
          <w:lang w:val="en-US" w:eastAsia="zh-CN"/>
        </w:rPr>
        <w:t>3</w:t>
      </w:r>
      <w:r>
        <w:rPr>
          <w:rFonts w:hint="eastAsia" w:ascii="仿宋" w:hAnsi="仿宋" w:eastAsia="仿宋" w:cs="仿宋"/>
          <w:kern w:val="2"/>
          <w:sz w:val="32"/>
          <w:szCs w:val="32"/>
          <w:highlight w:val="none"/>
        </w:rPr>
        <w:t>年医疗救助</w:t>
      </w:r>
      <w:r>
        <w:rPr>
          <w:rFonts w:hint="eastAsia" w:ascii="仿宋" w:hAnsi="仿宋" w:eastAsia="仿宋" w:cs="仿宋"/>
          <w:kern w:val="2"/>
          <w:sz w:val="32"/>
          <w:szCs w:val="32"/>
          <w:highlight w:val="none"/>
          <w:lang w:eastAsia="zh-CN"/>
        </w:rPr>
        <w:t>资金划拨到医保中心</w:t>
      </w:r>
      <w:r>
        <w:rPr>
          <w:rFonts w:hint="eastAsia" w:ascii="仿宋" w:hAnsi="仿宋" w:eastAsia="仿宋" w:cs="仿宋"/>
          <w:kern w:val="2"/>
          <w:sz w:val="32"/>
          <w:szCs w:val="32"/>
        </w:rPr>
        <w:t>。</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highlight w:val="yellow"/>
        </w:rPr>
      </w:pPr>
      <w:r>
        <w:rPr>
          <w:rFonts w:hint="eastAsia" w:ascii="仿宋" w:hAnsi="仿宋" w:eastAsia="仿宋" w:cs="仿宋"/>
          <w:kern w:val="44"/>
          <w:sz w:val="32"/>
          <w:szCs w:val="32"/>
        </w:rPr>
        <w:t>2023年度财政拨款收入中，一般公共预算财政拨款收入442.86万元，比2022年度决算数增减少2673.6</w:t>
      </w:r>
      <w:r>
        <w:rPr>
          <w:rFonts w:hint="eastAsia" w:ascii="仿宋" w:hAnsi="仿宋" w:eastAsia="仿宋" w:cs="仿宋"/>
          <w:kern w:val="44"/>
          <w:sz w:val="32"/>
          <w:szCs w:val="32"/>
          <w:lang w:val="en-US" w:eastAsia="zh-CN"/>
        </w:rPr>
        <w:t>1</w:t>
      </w:r>
      <w:r>
        <w:rPr>
          <w:rFonts w:hint="eastAsia" w:ascii="仿宋" w:hAnsi="仿宋" w:eastAsia="仿宋" w:cs="仿宋"/>
          <w:kern w:val="44"/>
          <w:sz w:val="32"/>
          <w:szCs w:val="32"/>
        </w:rPr>
        <w:t>万元。</w:t>
      </w:r>
      <w:bookmarkStart w:id="13" w:name="OLE_LINK56"/>
      <w:r>
        <w:rPr>
          <w:rFonts w:hint="eastAsia" w:ascii="仿宋" w:hAnsi="仿宋" w:eastAsia="仿宋" w:cs="仿宋"/>
          <w:kern w:val="2"/>
          <w:sz w:val="32"/>
          <w:szCs w:val="32"/>
          <w:highlight w:val="none"/>
        </w:rPr>
        <w:t>主要原因是202</w:t>
      </w:r>
      <w:r>
        <w:rPr>
          <w:rFonts w:hint="eastAsia" w:ascii="仿宋" w:hAnsi="仿宋" w:eastAsia="仿宋" w:cs="仿宋"/>
          <w:kern w:val="2"/>
          <w:sz w:val="32"/>
          <w:szCs w:val="32"/>
          <w:highlight w:val="none"/>
          <w:lang w:val="en-US" w:eastAsia="zh-CN"/>
        </w:rPr>
        <w:t>3</w:t>
      </w:r>
      <w:r>
        <w:rPr>
          <w:rFonts w:hint="eastAsia" w:ascii="仿宋" w:hAnsi="仿宋" w:eastAsia="仿宋" w:cs="仿宋"/>
          <w:kern w:val="2"/>
          <w:sz w:val="32"/>
          <w:szCs w:val="32"/>
          <w:highlight w:val="none"/>
        </w:rPr>
        <w:t>年医疗救助</w:t>
      </w:r>
      <w:r>
        <w:rPr>
          <w:rFonts w:hint="eastAsia" w:ascii="仿宋" w:hAnsi="仿宋" w:eastAsia="仿宋" w:cs="仿宋"/>
          <w:kern w:val="2"/>
          <w:sz w:val="32"/>
          <w:szCs w:val="32"/>
          <w:highlight w:val="none"/>
          <w:lang w:eastAsia="zh-CN"/>
        </w:rPr>
        <w:t>资金划拨到医保中心</w:t>
      </w:r>
      <w:r>
        <w:rPr>
          <w:rFonts w:hint="eastAsia" w:ascii="仿宋" w:hAnsi="仿宋" w:eastAsia="仿宋" w:cs="仿宋"/>
          <w:kern w:val="2"/>
          <w:sz w:val="32"/>
          <w:szCs w:val="32"/>
        </w:rPr>
        <w:t>。</w:t>
      </w:r>
      <w:bookmarkEnd w:id="13"/>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图4：财政拨款收、支决算总计变动情况</w:t>
      </w:r>
    </w:p>
    <w:p>
      <w:pPr>
        <w:keepNext w:val="0"/>
        <w:keepLines w:val="0"/>
        <w:widowControl w:val="0"/>
        <w:suppressLineNumbers w:val="0"/>
        <w:adjustRightInd w:val="0"/>
        <w:snapToGrid w:val="0"/>
        <w:spacing w:before="0" w:beforeAutospacing="1" w:after="0" w:afterAutospacing="1" w:line="360" w:lineRule="auto"/>
        <w:ind w:left="0" w:firstLine="420" w:firstLineChars="200"/>
        <w:jc w:val="center"/>
        <w:rPr>
          <w:rFonts w:hint="eastAsia"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drawing>
          <wp:inline distT="0" distB="0" distL="114300" distR="114300">
            <wp:extent cx="5080000" cy="3810000"/>
            <wp:effectExtent l="4445" t="4445" r="20955" b="1460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adjustRightInd w:val="0"/>
        <w:snapToGrid w:val="0"/>
        <w:spacing w:before="0" w:beforeAutospacing="1" w:after="0" w:afterAutospacing="1" w:line="580" w:lineRule="atLeast"/>
        <w:ind w:lef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五、一般公共预算财政拨款支出决算情况说明</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楷体" w:hAnsi="楷体" w:eastAsia="楷体" w:cs="楷体"/>
          <w:kern w:val="44"/>
          <w:sz w:val="32"/>
          <w:szCs w:val="32"/>
        </w:rPr>
      </w:pPr>
      <w:r>
        <w:rPr>
          <w:rFonts w:hint="eastAsia" w:ascii="楷体" w:hAnsi="楷体" w:eastAsia="楷体" w:cs="楷体"/>
          <w:kern w:val="44"/>
          <w:sz w:val="32"/>
          <w:szCs w:val="32"/>
        </w:rPr>
        <w:t>（一）一般公共预算财政拨款支出决算总体情况</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2023年度一般公共预算财政拨款支出442.86万元，占本年支出合计的100%。与2022年度相比，一般公共预算财政拨款支出减少2673.61万元，减少85.</w:t>
      </w:r>
      <w:r>
        <w:rPr>
          <w:rFonts w:hint="eastAsia" w:ascii="仿宋" w:hAnsi="仿宋" w:eastAsia="仿宋" w:cs="仿宋"/>
          <w:kern w:val="44"/>
          <w:sz w:val="32"/>
          <w:szCs w:val="32"/>
          <w:lang w:val="en-US" w:eastAsia="zh-CN"/>
        </w:rPr>
        <w:t>79</w:t>
      </w:r>
      <w:r>
        <w:rPr>
          <w:rFonts w:hint="eastAsia" w:ascii="仿宋" w:hAnsi="仿宋" w:eastAsia="仿宋" w:cs="仿宋"/>
          <w:kern w:val="44"/>
          <w:sz w:val="32"/>
          <w:szCs w:val="32"/>
        </w:rPr>
        <w:t>%。</w:t>
      </w:r>
      <w:r>
        <w:rPr>
          <w:rFonts w:hint="eastAsia" w:ascii="仿宋" w:hAnsi="仿宋" w:eastAsia="仿宋" w:cs="仿宋"/>
          <w:kern w:val="2"/>
          <w:sz w:val="32"/>
          <w:szCs w:val="32"/>
          <w:highlight w:val="none"/>
        </w:rPr>
        <w:t>主要原因是202</w:t>
      </w:r>
      <w:r>
        <w:rPr>
          <w:rFonts w:hint="eastAsia" w:ascii="仿宋" w:hAnsi="仿宋" w:eastAsia="仿宋" w:cs="仿宋"/>
          <w:kern w:val="2"/>
          <w:sz w:val="32"/>
          <w:szCs w:val="32"/>
          <w:highlight w:val="none"/>
          <w:lang w:val="en-US" w:eastAsia="zh-CN"/>
        </w:rPr>
        <w:t>3</w:t>
      </w:r>
      <w:r>
        <w:rPr>
          <w:rFonts w:hint="eastAsia" w:ascii="仿宋" w:hAnsi="仿宋" w:eastAsia="仿宋" w:cs="仿宋"/>
          <w:kern w:val="2"/>
          <w:sz w:val="32"/>
          <w:szCs w:val="32"/>
          <w:highlight w:val="none"/>
        </w:rPr>
        <w:t>年医疗救助</w:t>
      </w:r>
      <w:r>
        <w:rPr>
          <w:rFonts w:hint="eastAsia" w:ascii="仿宋" w:hAnsi="仿宋" w:eastAsia="仿宋" w:cs="仿宋"/>
          <w:kern w:val="2"/>
          <w:sz w:val="32"/>
          <w:szCs w:val="32"/>
          <w:highlight w:val="none"/>
          <w:lang w:eastAsia="zh-CN"/>
        </w:rPr>
        <w:t>资金划拨到医保中心</w:t>
      </w:r>
      <w:r>
        <w:rPr>
          <w:rFonts w:hint="eastAsia" w:ascii="仿宋" w:hAnsi="仿宋" w:eastAsia="仿宋" w:cs="仿宋"/>
          <w:kern w:val="2"/>
          <w:sz w:val="32"/>
          <w:szCs w:val="32"/>
        </w:rPr>
        <w:t>。</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楷体" w:hAnsi="楷体" w:eastAsia="楷体" w:cs="楷体"/>
          <w:kern w:val="44"/>
          <w:sz w:val="32"/>
          <w:szCs w:val="32"/>
        </w:rPr>
      </w:pPr>
      <w:r>
        <w:rPr>
          <w:rFonts w:hint="eastAsia" w:ascii="楷体" w:hAnsi="楷体" w:eastAsia="楷体" w:cs="楷体"/>
          <w:kern w:val="44"/>
          <w:sz w:val="32"/>
          <w:szCs w:val="32"/>
        </w:rPr>
        <w:t>（二）一般公共预算财政拨款支出决算结构情况</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2023年度一般公共预算财政拨款支出442.86万元，主要用于以下方面：</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1.社会保障和就业（类）支出22.28万元，占5%。主要是用于职工机关事业单位基本养老保险缴费。</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 卫生健康（类）支出398.40万元，占90%。主要是用于职工基本医疗保险缴费、公务员医疗补助缴费、医疗救助款。</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3.住房保障（类）支出22.18万元，占5%。主要是用于职工住房公积金单位部分。</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楷体" w:hAnsi="楷体" w:eastAsia="楷体" w:cs="楷体"/>
          <w:kern w:val="44"/>
          <w:sz w:val="32"/>
          <w:szCs w:val="32"/>
        </w:rPr>
      </w:pPr>
      <w:r>
        <w:rPr>
          <w:rFonts w:hint="eastAsia" w:ascii="楷体" w:hAnsi="楷体" w:eastAsia="楷体" w:cs="楷体"/>
          <w:kern w:val="44"/>
          <w:sz w:val="32"/>
          <w:szCs w:val="32"/>
        </w:rPr>
        <w:t>（三）一般公共预算财政拨款支出决算具体情况</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highlight w:val="none"/>
          <w:lang w:val="en-US" w:eastAsia="zh-CN"/>
        </w:rPr>
      </w:pPr>
      <w:r>
        <w:rPr>
          <w:rFonts w:hint="eastAsia" w:ascii="仿宋" w:hAnsi="仿宋" w:eastAsia="仿宋" w:cs="仿宋"/>
          <w:kern w:val="44"/>
          <w:sz w:val="32"/>
          <w:szCs w:val="32"/>
        </w:rPr>
        <w:t>2023年度一般公共预算财政拨款支出年初预算为401.75万元，支出决算为401.75万元，完成年初预算的110.23%。其中：基本支出243.12万元，项目支出199.74万元。项目支出主要用于</w:t>
      </w:r>
      <w:r>
        <w:rPr>
          <w:rFonts w:hint="eastAsia" w:ascii="仿宋" w:hAnsi="仿宋" w:eastAsia="仿宋" w:cs="仿宋"/>
          <w:kern w:val="44"/>
          <w:sz w:val="32"/>
          <w:szCs w:val="32"/>
          <w:highlight w:val="none"/>
        </w:rPr>
        <w:t>项目名称2022预留待分配项目经费0.</w:t>
      </w:r>
      <w:r>
        <w:rPr>
          <w:rFonts w:hint="eastAsia" w:ascii="仿宋" w:hAnsi="仿宋" w:eastAsia="仿宋" w:cs="仿宋"/>
          <w:kern w:val="44"/>
          <w:sz w:val="32"/>
          <w:szCs w:val="32"/>
          <w:highlight w:val="none"/>
          <w:lang w:val="en-US" w:eastAsia="zh-CN"/>
        </w:rPr>
        <w:t>79</w:t>
      </w:r>
      <w:r>
        <w:rPr>
          <w:rFonts w:hint="eastAsia" w:ascii="仿宋" w:hAnsi="仿宋" w:eastAsia="仿宋" w:cs="仿宋"/>
          <w:kern w:val="44"/>
          <w:sz w:val="32"/>
          <w:szCs w:val="32"/>
          <w:highlight w:val="none"/>
        </w:rPr>
        <w:t>万元、三等功和嘉奖0.15万元。项目名称</w:t>
      </w:r>
      <w:r>
        <w:rPr>
          <w:rFonts w:hint="eastAsia" w:ascii="仿宋" w:hAnsi="仿宋" w:eastAsia="仿宋" w:cs="仿宋"/>
          <w:kern w:val="44"/>
          <w:sz w:val="32"/>
          <w:szCs w:val="32"/>
          <w:highlight w:val="none"/>
          <w:lang w:val="en-US" w:eastAsia="zh-CN"/>
        </w:rPr>
        <w:t>2022</w:t>
      </w:r>
      <w:r>
        <w:rPr>
          <w:rFonts w:hint="eastAsia" w:ascii="仿宋" w:hAnsi="仿宋" w:eastAsia="仿宋" w:cs="仿宋"/>
          <w:kern w:val="44"/>
          <w:sz w:val="32"/>
          <w:szCs w:val="32"/>
          <w:highlight w:val="none"/>
        </w:rPr>
        <w:t>医疗服务与保障能力提升</w:t>
      </w:r>
      <w:r>
        <w:rPr>
          <w:rFonts w:hint="eastAsia" w:ascii="仿宋" w:hAnsi="仿宋" w:eastAsia="仿宋" w:cs="仿宋"/>
          <w:kern w:val="44"/>
          <w:sz w:val="32"/>
          <w:szCs w:val="32"/>
          <w:highlight w:val="none"/>
          <w:lang w:val="en-US" w:eastAsia="zh-CN"/>
        </w:rPr>
        <w:t>15</w:t>
      </w:r>
      <w:r>
        <w:rPr>
          <w:rFonts w:hint="eastAsia" w:ascii="仿宋" w:hAnsi="仿宋" w:eastAsia="仿宋" w:cs="仿宋"/>
          <w:kern w:val="44"/>
          <w:sz w:val="32"/>
          <w:szCs w:val="32"/>
          <w:highlight w:val="none"/>
        </w:rPr>
        <w:t>万元、202</w:t>
      </w:r>
      <w:r>
        <w:rPr>
          <w:rFonts w:hint="eastAsia" w:ascii="仿宋" w:hAnsi="仿宋" w:eastAsia="仿宋" w:cs="仿宋"/>
          <w:kern w:val="44"/>
          <w:sz w:val="32"/>
          <w:szCs w:val="32"/>
          <w:highlight w:val="none"/>
          <w:lang w:val="en-US" w:eastAsia="zh-CN"/>
        </w:rPr>
        <w:t>3</w:t>
      </w:r>
      <w:r>
        <w:rPr>
          <w:rFonts w:hint="eastAsia" w:ascii="仿宋" w:hAnsi="仿宋" w:eastAsia="仿宋" w:cs="仿宋"/>
          <w:kern w:val="44"/>
          <w:sz w:val="32"/>
          <w:szCs w:val="32"/>
          <w:highlight w:val="none"/>
        </w:rPr>
        <w:t>年政府购买服务</w:t>
      </w:r>
      <w:r>
        <w:rPr>
          <w:rFonts w:hint="eastAsia" w:ascii="仿宋" w:hAnsi="仿宋" w:eastAsia="仿宋" w:cs="仿宋"/>
          <w:kern w:val="44"/>
          <w:sz w:val="32"/>
          <w:szCs w:val="32"/>
          <w:highlight w:val="none"/>
          <w:lang w:val="en-US" w:eastAsia="zh-CN"/>
        </w:rPr>
        <w:t>86</w:t>
      </w:r>
      <w:r>
        <w:rPr>
          <w:rFonts w:hint="eastAsia" w:ascii="仿宋" w:hAnsi="仿宋" w:eastAsia="仿宋" w:cs="仿宋"/>
          <w:kern w:val="44"/>
          <w:sz w:val="32"/>
          <w:szCs w:val="32"/>
          <w:highlight w:val="none"/>
        </w:rPr>
        <w:t>万元，主要成效为了保障医疗运作。项目名称2023年蔡甸区医保局综合工作经费</w:t>
      </w:r>
      <w:r>
        <w:rPr>
          <w:rFonts w:hint="eastAsia" w:ascii="仿宋" w:hAnsi="仿宋" w:eastAsia="仿宋" w:cs="仿宋"/>
          <w:kern w:val="44"/>
          <w:sz w:val="32"/>
          <w:szCs w:val="32"/>
          <w:highlight w:val="none"/>
          <w:lang w:val="en-US" w:eastAsia="zh-CN"/>
        </w:rPr>
        <w:t>76.8</w:t>
      </w:r>
      <w:r>
        <w:rPr>
          <w:rFonts w:hint="eastAsia" w:ascii="仿宋" w:hAnsi="仿宋" w:eastAsia="仿宋" w:cs="仿宋"/>
          <w:kern w:val="44"/>
          <w:sz w:val="32"/>
          <w:szCs w:val="32"/>
          <w:highlight w:val="none"/>
        </w:rPr>
        <w:t>万，</w:t>
      </w:r>
      <w:r>
        <w:rPr>
          <w:rFonts w:hint="eastAsia" w:ascii="仿宋" w:hAnsi="仿宋" w:eastAsia="仿宋" w:cs="仿宋"/>
          <w:kern w:val="44"/>
          <w:sz w:val="32"/>
          <w:szCs w:val="32"/>
          <w:highlight w:val="none"/>
          <w:lang w:eastAsia="zh-CN"/>
        </w:rPr>
        <w:t>主要成效为了保障医保局正常运转，2023年基金审计经费</w:t>
      </w:r>
      <w:r>
        <w:rPr>
          <w:rFonts w:hint="eastAsia" w:ascii="仿宋" w:hAnsi="仿宋" w:eastAsia="仿宋" w:cs="仿宋"/>
          <w:kern w:val="44"/>
          <w:sz w:val="32"/>
          <w:szCs w:val="32"/>
          <w:highlight w:val="none"/>
          <w:lang w:val="en-US" w:eastAsia="zh-CN"/>
        </w:rPr>
        <w:t>21万，主要成效保障医保局财务工作的稳定。</w:t>
      </w:r>
    </w:p>
    <w:p>
      <w:pPr>
        <w:keepNext w:val="0"/>
        <w:keepLines w:val="0"/>
        <w:widowControl w:val="0"/>
        <w:numPr>
          <w:ilvl w:val="0"/>
          <w:numId w:val="1"/>
        </w:numPr>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一般公共服务支出（类）政府办公厅（室）及相关机构事务（款） 一般行政管理事务（项）。年初预算为0  万元，支出决算为0万元，完成年初预算的100%。</w:t>
      </w:r>
    </w:p>
    <w:p>
      <w:pPr>
        <w:keepNext w:val="0"/>
        <w:keepLines w:val="0"/>
        <w:widowControl w:val="0"/>
        <w:numPr>
          <w:ilvl w:val="0"/>
          <w:numId w:val="1"/>
        </w:numPr>
        <w:suppressLineNumbers w:val="0"/>
        <w:adjustRightInd w:val="0"/>
        <w:snapToGrid w:val="0"/>
        <w:spacing w:before="0" w:beforeAutospacing="1" w:after="0" w:afterAutospacing="1" w:line="360" w:lineRule="auto"/>
        <w:ind w:left="0" w:leftChars="0" w:right="0" w:rightChars="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社会保障和就业支出（类）行政事业单位养老支出（款）机关事业单位基本养老保险缴费支出（项）。年初预算为12.12万元，支出决算为12.12万元，完成年初预算的100%。</w:t>
      </w:r>
    </w:p>
    <w:p>
      <w:pPr>
        <w:keepNext w:val="0"/>
        <w:keepLines w:val="0"/>
        <w:widowControl w:val="0"/>
        <w:numPr>
          <w:ilvl w:val="0"/>
          <w:numId w:val="1"/>
        </w:numPr>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卫生健康支出（类）行政事业单位医疗（款）行政单位医疗、公务员医疗补助（项）。年初预算为367.46万元，支出决算为398.40万元，完成年初预算的108.42%。</w:t>
      </w:r>
      <w:bookmarkStart w:id="14" w:name="OLE_LINK12"/>
      <w:r>
        <w:rPr>
          <w:rFonts w:hint="eastAsia" w:ascii="仿宋" w:hAnsi="仿宋" w:eastAsia="仿宋" w:cs="仿宋"/>
          <w:kern w:val="44"/>
          <w:sz w:val="32"/>
          <w:szCs w:val="32"/>
        </w:rPr>
        <w:t>支出决算数大于年初预算数的主要原因：202</w:t>
      </w:r>
      <w:bookmarkEnd w:id="14"/>
      <w:r>
        <w:rPr>
          <w:rFonts w:hint="eastAsia" w:ascii="仿宋" w:hAnsi="仿宋" w:eastAsia="仿宋" w:cs="仿宋"/>
          <w:kern w:val="44"/>
          <w:sz w:val="32"/>
          <w:szCs w:val="32"/>
        </w:rPr>
        <w:t>3年度期间经费调整。</w:t>
      </w:r>
    </w:p>
    <w:p>
      <w:pPr>
        <w:keepNext w:val="0"/>
        <w:keepLines w:val="0"/>
        <w:widowControl w:val="0"/>
        <w:numPr>
          <w:ilvl w:val="0"/>
          <w:numId w:val="1"/>
        </w:numPr>
        <w:suppressLineNumbers w:val="0"/>
        <w:adjustRightInd w:val="0"/>
        <w:snapToGrid w:val="0"/>
        <w:spacing w:before="0" w:beforeAutospacing="1" w:after="0" w:afterAutospacing="1" w:line="360" w:lineRule="auto"/>
        <w:ind w:left="0" w:leftChars="0" w:right="0" w:rightChars="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住房保障支出（类）住房改革支出（款）住房公积金、提租补贴（项）。年初预算为22.17万元，支出决算为22.18万元，完成年初预算的100.04%。支出决算数大于年初预算数的主要原因：2023年度期间经费调整。</w:t>
      </w:r>
    </w:p>
    <w:p>
      <w:pPr>
        <w:adjustRightInd w:val="0"/>
        <w:snapToGrid w:val="0"/>
        <w:spacing w:before="0" w:beforeAutospacing="1" w:after="0" w:afterAutospacing="1" w:line="580" w:lineRule="atLeast"/>
        <w:ind w:lef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六、一般公共预算财政拨款基本支出决算情况说明</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2023年度一般公共预算财政拨款基本支出243.1</w:t>
      </w:r>
      <w:r>
        <w:rPr>
          <w:rFonts w:hint="eastAsia" w:ascii="仿宋" w:hAnsi="仿宋" w:eastAsia="仿宋" w:cs="仿宋"/>
          <w:kern w:val="44"/>
          <w:sz w:val="32"/>
          <w:szCs w:val="32"/>
          <w:lang w:val="en-US" w:eastAsia="zh-CN"/>
        </w:rPr>
        <w:t>3</w:t>
      </w:r>
      <w:r>
        <w:rPr>
          <w:rFonts w:hint="eastAsia" w:ascii="仿宋" w:hAnsi="仿宋" w:eastAsia="仿宋" w:cs="仿宋"/>
          <w:kern w:val="44"/>
          <w:sz w:val="32"/>
          <w:szCs w:val="32"/>
        </w:rPr>
        <w:t>万元，其中：</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人员经费235.26万元，主要包括：基本工资、津贴补贴、奖金、机关事业单位基本养老保险缴费、职工基本医疗保险缴</w:t>
      </w:r>
      <w:bookmarkStart w:id="15" w:name="OLE_LINK66"/>
      <w:r>
        <w:rPr>
          <w:rFonts w:hint="eastAsia" w:ascii="仿宋" w:hAnsi="仿宋" w:eastAsia="仿宋" w:cs="仿宋"/>
          <w:kern w:val="44"/>
          <w:sz w:val="32"/>
          <w:szCs w:val="32"/>
        </w:rPr>
        <w:t>费、公务员医疗补助缴费、住房公积金、其他工资福利支出。</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lang w:eastAsia="zh-CN"/>
        </w:rPr>
      </w:pPr>
      <w:r>
        <w:rPr>
          <w:rFonts w:hint="eastAsia" w:ascii="仿宋" w:hAnsi="仿宋" w:eastAsia="仿宋" w:cs="仿宋"/>
          <w:kern w:val="44"/>
          <w:sz w:val="32"/>
          <w:szCs w:val="32"/>
        </w:rPr>
        <w:t>公用经费</w:t>
      </w:r>
      <w:bookmarkEnd w:id="15"/>
      <w:r>
        <w:rPr>
          <w:rFonts w:hint="eastAsia" w:ascii="仿宋" w:hAnsi="仿宋" w:eastAsia="仿宋" w:cs="仿宋"/>
          <w:kern w:val="44"/>
          <w:sz w:val="32"/>
          <w:szCs w:val="32"/>
        </w:rPr>
        <w:t>7.87万元，主要包括：办公费、水费、电费</w:t>
      </w:r>
      <w:r>
        <w:rPr>
          <w:rFonts w:hint="eastAsia" w:ascii="仿宋" w:hAnsi="仿宋" w:eastAsia="仿宋" w:cs="仿宋"/>
          <w:kern w:val="44"/>
          <w:sz w:val="32"/>
          <w:szCs w:val="32"/>
          <w:lang w:eastAsia="zh-CN"/>
        </w:rPr>
        <w:t>、邮电费</w:t>
      </w:r>
      <w:r>
        <w:rPr>
          <w:rFonts w:hint="eastAsia" w:ascii="仿宋" w:hAnsi="仿宋" w:eastAsia="仿宋" w:cs="仿宋"/>
          <w:kern w:val="44"/>
          <w:sz w:val="32"/>
          <w:szCs w:val="32"/>
        </w:rPr>
        <w:t>、劳务费、工会经费</w:t>
      </w:r>
      <w:r>
        <w:rPr>
          <w:rFonts w:hint="eastAsia" w:ascii="仿宋" w:hAnsi="仿宋" w:eastAsia="仿宋" w:cs="仿宋"/>
          <w:kern w:val="44"/>
          <w:sz w:val="32"/>
          <w:szCs w:val="32"/>
          <w:lang w:eastAsia="zh-CN"/>
        </w:rPr>
        <w:t>。</w:t>
      </w:r>
    </w:p>
    <w:p>
      <w:pPr>
        <w:adjustRightInd w:val="0"/>
        <w:snapToGrid w:val="0"/>
        <w:spacing w:before="0" w:beforeAutospacing="1" w:after="0" w:afterAutospacing="1" w:line="580" w:lineRule="atLeast"/>
        <w:ind w:lef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七、政府性基金预算财政拨款收入支出决算情况说明</w:t>
      </w:r>
      <w:r>
        <w:rPr>
          <w:rFonts w:hint="eastAsia" w:ascii="黑体" w:hAnsi="宋体" w:eastAsia="黑体" w:cs="Times New Roman"/>
          <w:kern w:val="2"/>
          <w:sz w:val="32"/>
          <w:szCs w:val="32"/>
        </w:rPr>
        <w:t xml:space="preserve"> </w:t>
      </w:r>
    </w:p>
    <w:p>
      <w:pPr>
        <w:adjustRightInd w:val="0"/>
        <w:snapToGrid w:val="0"/>
        <w:spacing w:before="0" w:beforeAutospacing="1" w:after="0" w:afterAutospacing="1" w:line="580" w:lineRule="atLeast"/>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本部门当年无政府性基金预算财政拨款收入支出</w:t>
      </w:r>
    </w:p>
    <w:p>
      <w:pPr>
        <w:adjustRightInd w:val="0"/>
        <w:snapToGrid w:val="0"/>
        <w:spacing w:before="0" w:beforeAutospacing="1" w:after="0" w:afterAutospacing="1" w:line="580" w:lineRule="atLeast"/>
        <w:ind w:lef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八、国有资本经营预算财政拨款支出决算情况说明</w:t>
      </w:r>
    </w:p>
    <w:p>
      <w:pPr>
        <w:keepNext w:val="0"/>
        <w:keepLines w:val="0"/>
        <w:widowControl w:val="0"/>
        <w:suppressLineNumbers w:val="0"/>
        <w:adjustRightInd w:val="0"/>
        <w:snapToGrid w:val="0"/>
        <w:spacing w:before="0" w:beforeAutospacing="1" w:after="0" w:afterAutospacing="1" w:line="360" w:lineRule="auto"/>
        <w:ind w:left="0" w:firstLine="640" w:firstLineChars="200"/>
        <w:jc w:val="left"/>
        <w:rPr>
          <w:rFonts w:hint="eastAsia" w:ascii="仿宋" w:hAnsi="仿宋" w:eastAsia="仿宋" w:cs="仿宋"/>
          <w:kern w:val="44"/>
          <w:sz w:val="32"/>
          <w:szCs w:val="32"/>
        </w:rPr>
      </w:pPr>
      <w:bookmarkStart w:id="16" w:name="OLE_LINK67"/>
      <w:r>
        <w:rPr>
          <w:rFonts w:hint="eastAsia" w:ascii="仿宋" w:hAnsi="仿宋" w:eastAsia="仿宋" w:cs="仿宋"/>
          <w:kern w:val="44"/>
          <w:sz w:val="32"/>
          <w:szCs w:val="32"/>
        </w:rPr>
        <w:t>本部门当年无</w:t>
      </w:r>
      <w:bookmarkEnd w:id="16"/>
      <w:r>
        <w:rPr>
          <w:rFonts w:hint="eastAsia" w:ascii="仿宋" w:hAnsi="仿宋" w:eastAsia="仿宋" w:cs="仿宋"/>
          <w:kern w:val="44"/>
          <w:sz w:val="32"/>
          <w:szCs w:val="32"/>
        </w:rPr>
        <w:t>国有资本经营预算财政拨款支出。</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0" w:beforeAutospacing="1" w:after="0" w:afterAutospacing="1" w:line="580" w:lineRule="atLeast"/>
        <w:ind w:right="0" w:rightChars="0" w:firstLine="640" w:firstLineChars="200"/>
        <w:textAlignment w:val="auto"/>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eastAsia="zh-CN"/>
        </w:rPr>
        <w:t>九、</w:t>
      </w:r>
      <w:r>
        <w:rPr>
          <w:rFonts w:hint="eastAsia" w:ascii="黑体" w:hAnsi="宋体" w:eastAsia="黑体" w:cs="黑体"/>
          <w:kern w:val="2"/>
          <w:sz w:val="32"/>
          <w:szCs w:val="32"/>
          <w:highlight w:val="none"/>
        </w:rPr>
        <w:t>财政拨款“三公”经费支出决算情况说明</w:t>
      </w:r>
    </w:p>
    <w:p>
      <w:pPr>
        <w:kinsoku/>
        <w:spacing w:line="560" w:lineRule="exact"/>
        <w:ind w:left="411"/>
        <w:jc w:val="both"/>
        <w:rPr>
          <w:rFonts w:ascii="楷体" w:hAnsi="楷体" w:eastAsia="楷体" w:cs="楷体"/>
          <w:spacing w:val="-7"/>
          <w:sz w:val="32"/>
          <w:szCs w:val="32"/>
        </w:rPr>
      </w:pPr>
      <w:r>
        <w:rPr>
          <w:rFonts w:ascii="楷体" w:hAnsi="楷体" w:eastAsia="楷体" w:cs="楷体"/>
          <w:spacing w:val="-7"/>
          <w:sz w:val="32"/>
          <w:szCs w:val="32"/>
        </w:rPr>
        <w:t>（一）“</w:t>
      </w:r>
      <w:bookmarkStart w:id="17" w:name="OLE_LINK68"/>
      <w:r>
        <w:rPr>
          <w:rFonts w:ascii="楷体" w:hAnsi="楷体" w:eastAsia="楷体" w:cs="楷体"/>
          <w:spacing w:val="-7"/>
          <w:sz w:val="32"/>
          <w:szCs w:val="32"/>
        </w:rPr>
        <w:t>三公”经费财政拨款支出</w:t>
      </w:r>
      <w:bookmarkEnd w:id="17"/>
      <w:r>
        <w:rPr>
          <w:rFonts w:ascii="楷体" w:hAnsi="楷体" w:eastAsia="楷体" w:cs="楷体"/>
          <w:spacing w:val="-7"/>
          <w:sz w:val="32"/>
          <w:szCs w:val="32"/>
        </w:rPr>
        <w:t>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楷体"/>
          <w:spacing w:val="-7"/>
          <w:sz w:val="32"/>
          <w:szCs w:val="32"/>
        </w:rPr>
      </w:pPr>
      <w:r>
        <w:rPr>
          <w:rFonts w:hint="eastAsia" w:ascii="仿宋" w:hAnsi="仿宋" w:eastAsia="仿宋" w:cs="仿宋"/>
          <w:kern w:val="44"/>
          <w:sz w:val="32"/>
          <w:szCs w:val="32"/>
        </w:rPr>
        <w:t>本部门当年无</w:t>
      </w:r>
      <w:r>
        <w:rPr>
          <w:rFonts w:ascii="楷体" w:hAnsi="楷体" w:eastAsia="楷体" w:cs="楷体"/>
          <w:spacing w:val="-7"/>
          <w:sz w:val="32"/>
          <w:szCs w:val="32"/>
        </w:rPr>
        <w:t>三公”经费财政拨款支出</w:t>
      </w:r>
    </w:p>
    <w:p>
      <w:pPr>
        <w:kinsoku/>
        <w:spacing w:line="560" w:lineRule="exact"/>
        <w:ind w:left="411"/>
        <w:jc w:val="both"/>
        <w:rPr>
          <w:rFonts w:ascii="楷体" w:hAnsi="楷体" w:eastAsia="楷体" w:cs="楷体"/>
          <w:sz w:val="32"/>
          <w:szCs w:val="32"/>
        </w:rPr>
      </w:pPr>
      <w:r>
        <w:rPr>
          <w:rFonts w:ascii="楷体" w:hAnsi="楷体" w:eastAsia="楷体" w:cs="楷体"/>
          <w:spacing w:val="-7"/>
          <w:sz w:val="32"/>
          <w:szCs w:val="32"/>
        </w:rPr>
        <w:t>（二）“三公”经费财政拨款支出决算具体情况说明。</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1.</w:t>
      </w:r>
      <w:r>
        <w:rPr>
          <w:rFonts w:hint="eastAsia" w:ascii="仿宋" w:hAnsi="仿宋" w:eastAsia="仿宋" w:cs="仿宋"/>
          <w:kern w:val="44"/>
          <w:sz w:val="32"/>
          <w:szCs w:val="32"/>
          <w:lang w:eastAsia="zh-CN"/>
        </w:rPr>
        <w:t>本部门当年无</w:t>
      </w:r>
      <w:r>
        <w:rPr>
          <w:rFonts w:hint="eastAsia" w:ascii="仿宋" w:hAnsi="仿宋" w:eastAsia="仿宋" w:cs="仿宋"/>
          <w:kern w:val="44"/>
          <w:sz w:val="32"/>
          <w:szCs w:val="32"/>
        </w:rPr>
        <w:t>因公出国 (境)费</w:t>
      </w:r>
    </w:p>
    <w:p>
      <w:pPr>
        <w:adjustRightInd w:val="0"/>
        <w:snapToGrid w:val="0"/>
        <w:spacing w:before="0" w:beforeAutospacing="1" w:after="0" w:afterAutospacing="1" w:line="580" w:lineRule="atLeast"/>
        <w:ind w:left="0" w:firstLine="640" w:firstLineChars="200"/>
        <w:rPr>
          <w:rFonts w:hint="eastAsia" w:ascii="仿宋" w:hAnsi="仿宋" w:eastAsia="仿宋" w:cs="仿宋"/>
          <w:kern w:val="44"/>
          <w:sz w:val="32"/>
          <w:szCs w:val="32"/>
          <w:lang w:eastAsia="zh-CN"/>
        </w:rPr>
      </w:pPr>
      <w:r>
        <w:rPr>
          <w:rFonts w:hint="eastAsia" w:ascii="仿宋" w:hAnsi="仿宋" w:eastAsia="仿宋" w:cs="仿宋"/>
          <w:kern w:val="44"/>
          <w:sz w:val="32"/>
          <w:szCs w:val="32"/>
          <w:lang w:eastAsia="zh-CN"/>
        </w:rPr>
        <w:t>2.本部门当年无公务用车购置及运行费支出</w:t>
      </w:r>
    </w:p>
    <w:p>
      <w:pPr>
        <w:adjustRightInd w:val="0"/>
        <w:snapToGrid w:val="0"/>
        <w:spacing w:before="0" w:beforeAutospacing="1" w:after="0" w:afterAutospacing="1" w:line="580" w:lineRule="atLeast"/>
        <w:ind w:left="0" w:firstLine="640" w:firstLineChars="200"/>
        <w:rPr>
          <w:rFonts w:hint="eastAsia" w:ascii="仿宋" w:hAnsi="仿宋" w:eastAsia="仿宋" w:cs="仿宋"/>
          <w:kern w:val="44"/>
          <w:sz w:val="32"/>
          <w:szCs w:val="32"/>
          <w:lang w:eastAsia="zh-CN"/>
        </w:rPr>
      </w:pPr>
      <w:r>
        <w:rPr>
          <w:rFonts w:hint="eastAsia" w:ascii="仿宋" w:hAnsi="仿宋" w:eastAsia="仿宋" w:cs="仿宋"/>
          <w:kern w:val="44"/>
          <w:sz w:val="32"/>
          <w:szCs w:val="32"/>
          <w:lang w:eastAsia="zh-CN"/>
        </w:rPr>
        <w:t>3.本部门当年无公务接待费支出</w:t>
      </w:r>
    </w:p>
    <w:p>
      <w:pPr>
        <w:adjustRightInd w:val="0"/>
        <w:snapToGrid w:val="0"/>
        <w:spacing w:before="0" w:beforeAutospacing="1" w:after="0" w:afterAutospacing="1" w:line="580" w:lineRule="atLeast"/>
        <w:ind w:lef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十、机关运行经费支出情况</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 xml:space="preserve">2023年度武汉市蔡甸区医疗保障局（本级）机关运行经费支出7.87万元，比2022年度减少5.14万元，减少39.51%。主要原因是本年机关运行经费支出减少。 </w:t>
      </w:r>
    </w:p>
    <w:p>
      <w:pPr>
        <w:adjustRightInd w:val="0"/>
        <w:snapToGrid w:val="0"/>
        <w:spacing w:before="0" w:beforeAutospacing="1" w:after="0" w:afterAutospacing="1" w:line="580" w:lineRule="atLeast"/>
        <w:ind w:lef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十一、政府采购支出情况</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2023年度武汉市蔡甸区医疗保障局（本级）政府采购支出总额117.1万元，其中：政府采购货物支出0万元、政府采购工程支出0万元、政府采购服务支出117.1万元。</w:t>
      </w:r>
    </w:p>
    <w:p>
      <w:pPr>
        <w:adjustRightInd w:val="0"/>
        <w:snapToGrid w:val="0"/>
        <w:spacing w:before="0" w:beforeAutospacing="1" w:after="0" w:afterAutospacing="1" w:line="580" w:lineRule="atLeast"/>
        <w:ind w:lef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十二、国有资产占用情况</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截至2023年12月31日，武汉市蔡甸区医疗保障局（本级）共有车辆0辆。无单价100万元(含)以上设备0台(套)。</w:t>
      </w:r>
    </w:p>
    <w:p>
      <w:pPr>
        <w:adjustRightInd w:val="0"/>
        <w:snapToGrid w:val="0"/>
        <w:spacing w:before="0" w:beforeAutospacing="1" w:after="0" w:afterAutospacing="1" w:line="580" w:lineRule="atLeast"/>
        <w:ind w:left="0" w:firstLine="640" w:firstLineChars="200"/>
        <w:rPr>
          <w:rFonts w:hint="eastAsia" w:ascii="黑体" w:hAnsi="宋体" w:eastAsia="黑体" w:cs="Times New Roman"/>
          <w:kern w:val="2"/>
          <w:sz w:val="32"/>
          <w:szCs w:val="32"/>
          <w:highlight w:val="none"/>
        </w:rPr>
      </w:pPr>
      <w:r>
        <w:rPr>
          <w:rFonts w:hint="eastAsia" w:ascii="黑体" w:hAnsi="宋体" w:eastAsia="黑体" w:cs="黑体"/>
          <w:kern w:val="2"/>
          <w:sz w:val="32"/>
          <w:szCs w:val="32"/>
          <w:highlight w:val="none"/>
        </w:rPr>
        <w:t>十三、预算绩效情况说明</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楷体" w:hAnsi="楷体" w:eastAsia="楷体" w:cs="楷体"/>
          <w:kern w:val="44"/>
          <w:sz w:val="32"/>
          <w:szCs w:val="32"/>
          <w:highlight w:val="none"/>
        </w:rPr>
      </w:pPr>
      <w:r>
        <w:rPr>
          <w:rFonts w:hint="eastAsia" w:ascii="楷体" w:hAnsi="楷体" w:eastAsia="楷体" w:cs="楷体"/>
          <w:kern w:val="44"/>
          <w:sz w:val="32"/>
          <w:szCs w:val="32"/>
          <w:highlight w:val="none"/>
        </w:rPr>
        <w:t>(一)预算绩效管理工作开展情况</w:t>
      </w:r>
    </w:p>
    <w:p>
      <w:pPr>
        <w:keepNext w:val="0"/>
        <w:keepLines w:val="0"/>
        <w:widowControl w:val="0"/>
        <w:suppressLineNumbers w:val="0"/>
        <w:adjustRightInd w:val="0"/>
        <w:snapToGrid w:val="0"/>
        <w:spacing w:before="0" w:beforeAutospacing="1" w:after="0" w:afterAutospacing="1" w:line="360" w:lineRule="auto"/>
        <w:ind w:left="0" w:firstLine="640" w:firstLineChars="200"/>
        <w:jc w:val="left"/>
        <w:rPr>
          <w:rFonts w:hint="eastAsia" w:ascii="仿宋" w:hAnsi="仿宋" w:eastAsia="仿宋" w:cs="仿宋"/>
          <w:kern w:val="44"/>
          <w:sz w:val="32"/>
          <w:szCs w:val="32"/>
        </w:rPr>
      </w:pPr>
      <w:r>
        <w:rPr>
          <w:rFonts w:hint="eastAsia" w:ascii="仿宋" w:hAnsi="仿宋" w:eastAsia="仿宋" w:cs="仿宋"/>
          <w:kern w:val="44"/>
          <w:sz w:val="32"/>
          <w:szCs w:val="32"/>
          <w:highlight w:val="none"/>
        </w:rPr>
        <w:t>根据预算绩效管理要求，我部门（单位）组织对202</w:t>
      </w:r>
      <w:r>
        <w:rPr>
          <w:rFonts w:hint="eastAsia" w:ascii="仿宋" w:hAnsi="仿宋" w:eastAsia="仿宋" w:cs="仿宋"/>
          <w:kern w:val="44"/>
          <w:sz w:val="32"/>
          <w:szCs w:val="32"/>
          <w:highlight w:val="none"/>
          <w:lang w:val="en-US" w:eastAsia="zh-CN"/>
        </w:rPr>
        <w:t>3</w:t>
      </w:r>
      <w:r>
        <w:rPr>
          <w:rFonts w:hint="eastAsia" w:ascii="仿宋" w:hAnsi="仿宋" w:eastAsia="仿宋" w:cs="仿宋"/>
          <w:kern w:val="44"/>
          <w:sz w:val="32"/>
          <w:szCs w:val="32"/>
          <w:highlight w:val="none"/>
        </w:rPr>
        <w:t xml:space="preserve">年度一般公共预算项目支出全面开展绩效自评，共涉及项目 </w:t>
      </w:r>
      <w:r>
        <w:rPr>
          <w:rFonts w:hint="eastAsia" w:ascii="仿宋" w:hAnsi="仿宋" w:eastAsia="仿宋" w:cs="仿宋"/>
          <w:kern w:val="44"/>
          <w:sz w:val="32"/>
          <w:szCs w:val="32"/>
          <w:highlight w:val="none"/>
          <w:lang w:val="en-US" w:eastAsia="zh-CN"/>
        </w:rPr>
        <w:t>3</w:t>
      </w:r>
      <w:r>
        <w:rPr>
          <w:rFonts w:hint="eastAsia" w:ascii="仿宋" w:hAnsi="仿宋" w:eastAsia="仿宋" w:cs="仿宋"/>
          <w:kern w:val="44"/>
          <w:sz w:val="32"/>
          <w:szCs w:val="32"/>
          <w:highlight w:val="none"/>
        </w:rPr>
        <w:t>个，资金</w:t>
      </w:r>
      <w:r>
        <w:rPr>
          <w:rFonts w:hint="eastAsia" w:ascii="黑体" w:eastAsia="黑体" w:cs="黑体"/>
          <w:kern w:val="2"/>
          <w:sz w:val="32"/>
          <w:szCs w:val="32"/>
          <w:highlight w:val="none"/>
          <w:lang w:val="en-US" w:eastAsia="zh-CN"/>
        </w:rPr>
        <w:t>183.8</w:t>
      </w:r>
      <w:r>
        <w:rPr>
          <w:rFonts w:hint="eastAsia" w:ascii="仿宋" w:hAnsi="仿宋" w:eastAsia="仿宋" w:cs="仿宋"/>
          <w:kern w:val="44"/>
          <w:sz w:val="32"/>
          <w:szCs w:val="32"/>
          <w:highlight w:val="none"/>
        </w:rPr>
        <w:t>万元，占一般公共预算项目支出总额的</w:t>
      </w:r>
      <w:r>
        <w:rPr>
          <w:rFonts w:hint="eastAsia" w:ascii="黑体" w:eastAsia="黑体" w:cs="黑体"/>
          <w:kern w:val="2"/>
          <w:sz w:val="32"/>
          <w:szCs w:val="32"/>
          <w:highlight w:val="none"/>
          <w:lang w:val="en-US" w:eastAsia="zh-CN"/>
        </w:rPr>
        <w:t>100%</w:t>
      </w:r>
      <w:r>
        <w:rPr>
          <w:rFonts w:hint="eastAsia" w:ascii="仿宋" w:hAnsi="仿宋" w:eastAsia="仿宋" w:cs="仿宋"/>
          <w:kern w:val="44"/>
          <w:sz w:val="32"/>
          <w:szCs w:val="32"/>
          <w:highlight w:val="none"/>
        </w:rPr>
        <w:t>。</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楷体" w:hAnsi="楷体" w:eastAsia="楷体" w:cs="楷体"/>
          <w:kern w:val="44"/>
          <w:sz w:val="32"/>
          <w:szCs w:val="32"/>
        </w:rPr>
      </w:pPr>
      <w:r>
        <w:rPr>
          <w:rFonts w:hint="eastAsia" w:ascii="楷体" w:hAnsi="楷体" w:eastAsia="楷体" w:cs="楷体"/>
          <w:kern w:val="44"/>
          <w:sz w:val="32"/>
          <w:szCs w:val="32"/>
        </w:rPr>
        <w:t>(二)部门（单位）整体支出自评结果</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我部门（单位）组织对本部门（单位）开展整体支出绩效自评，资金</w:t>
      </w:r>
      <w:r>
        <w:rPr>
          <w:rFonts w:hint="eastAsia" w:ascii="黑体" w:eastAsia="黑体" w:cs="黑体"/>
          <w:kern w:val="2"/>
          <w:sz w:val="32"/>
          <w:szCs w:val="32"/>
          <w:lang w:val="en-US" w:eastAsia="zh-CN"/>
        </w:rPr>
        <w:t>183.8</w:t>
      </w:r>
      <w:r>
        <w:rPr>
          <w:rFonts w:hint="eastAsia" w:ascii="仿宋" w:hAnsi="仿宋" w:eastAsia="仿宋" w:cs="仿宋"/>
          <w:kern w:val="44"/>
          <w:sz w:val="32"/>
          <w:szCs w:val="32"/>
        </w:rPr>
        <w:t>万元，从评价情况来看，执行情况较好，基本能完成绩效目标。</w:t>
      </w:r>
    </w:p>
    <w:p>
      <w:pPr>
        <w:keepNext w:val="0"/>
        <w:keepLines w:val="0"/>
        <w:widowControl w:val="0"/>
        <w:numPr>
          <w:ilvl w:val="0"/>
          <w:numId w:val="2"/>
        </w:numPr>
        <w:suppressLineNumbers w:val="0"/>
        <w:adjustRightInd w:val="0"/>
        <w:snapToGrid w:val="0"/>
        <w:spacing w:before="0" w:beforeAutospacing="1" w:after="0" w:afterAutospacing="1" w:line="360" w:lineRule="auto"/>
        <w:ind w:left="0" w:firstLine="640" w:firstLineChars="200"/>
        <w:rPr>
          <w:rFonts w:hint="eastAsia" w:ascii="楷体" w:hAnsi="楷体" w:eastAsia="楷体" w:cs="楷体"/>
          <w:kern w:val="44"/>
          <w:sz w:val="32"/>
          <w:szCs w:val="32"/>
        </w:rPr>
      </w:pPr>
      <w:r>
        <w:rPr>
          <w:rFonts w:hint="eastAsia" w:ascii="楷体" w:hAnsi="楷体" w:eastAsia="楷体" w:cs="楷体"/>
          <w:kern w:val="44"/>
          <w:sz w:val="32"/>
          <w:szCs w:val="32"/>
        </w:rPr>
        <w:t>项目支出自评结果</w:t>
      </w:r>
    </w:p>
    <w:p>
      <w:pPr>
        <w:keepNext w:val="0"/>
        <w:keepLines w:val="0"/>
        <w:widowControl w:val="0"/>
        <w:suppressLineNumbers w:val="0"/>
        <w:autoSpaceDE w:val="0"/>
        <w:autoSpaceDN/>
        <w:adjustRightInd w:val="0"/>
        <w:snapToGrid w:val="0"/>
        <w:spacing w:before="0" w:beforeAutospacing="1" w:after="0" w:afterAutospacing="0" w:line="360" w:lineRule="auto"/>
        <w:ind w:left="0" w:right="0" w:firstLine="640" w:firstLineChars="200"/>
        <w:rPr>
          <w:rFonts w:hint="eastAsia" w:ascii="楷体" w:hAnsi="楷体" w:eastAsia="楷体" w:cs="楷体"/>
          <w:kern w:val="44"/>
          <w:sz w:val="32"/>
          <w:szCs w:val="32"/>
        </w:rPr>
      </w:pPr>
      <w:r>
        <w:rPr>
          <w:rFonts w:hint="eastAsia" w:ascii="仿宋" w:hAnsi="仿宋" w:eastAsia="仿宋" w:cs="仿宋"/>
          <w:kern w:val="44"/>
          <w:sz w:val="32"/>
          <w:szCs w:val="32"/>
        </w:rPr>
        <w:t xml:space="preserve">我部门（单位）在2022年度部门决算中反映所有项目绩效自评结果（不包括涉密项目），共涉及 </w:t>
      </w:r>
      <w:r>
        <w:rPr>
          <w:rFonts w:hint="eastAsia" w:ascii="仿宋" w:hAnsi="仿宋" w:eastAsia="仿宋" w:cs="仿宋"/>
          <w:kern w:val="44"/>
          <w:sz w:val="32"/>
          <w:szCs w:val="32"/>
          <w:lang w:val="en-US" w:eastAsia="zh-CN"/>
        </w:rPr>
        <w:t>3</w:t>
      </w:r>
      <w:r>
        <w:rPr>
          <w:rFonts w:hint="eastAsia" w:ascii="仿宋" w:hAnsi="仿宋" w:eastAsia="仿宋" w:cs="仿宋"/>
          <w:kern w:val="44"/>
          <w:sz w:val="32"/>
          <w:szCs w:val="32"/>
        </w:rPr>
        <w:t>个一级项目。</w:t>
      </w:r>
    </w:p>
    <w:p>
      <w:pPr>
        <w:keepNext w:val="0"/>
        <w:keepLines w:val="0"/>
        <w:widowControl w:val="0"/>
        <w:suppressLineNumbers w:val="0"/>
        <w:autoSpaceDE w:val="0"/>
        <w:autoSpaceDN/>
        <w:adjustRightInd w:val="0"/>
        <w:snapToGrid w:val="0"/>
        <w:spacing w:before="0" w:beforeAutospacing="1" w:after="0" w:afterAutospacing="0"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1.202</w:t>
      </w:r>
      <w:r>
        <w:rPr>
          <w:rFonts w:hint="eastAsia" w:ascii="仿宋" w:hAnsi="仿宋" w:eastAsia="仿宋" w:cs="仿宋"/>
          <w:kern w:val="44"/>
          <w:sz w:val="32"/>
          <w:szCs w:val="32"/>
          <w:lang w:val="en-US" w:eastAsia="zh-CN"/>
        </w:rPr>
        <w:t>3</w:t>
      </w:r>
      <w:r>
        <w:rPr>
          <w:rFonts w:hint="eastAsia" w:ascii="仿宋" w:hAnsi="仿宋" w:eastAsia="仿宋" w:cs="仿宋"/>
          <w:kern w:val="44"/>
          <w:sz w:val="32"/>
          <w:szCs w:val="32"/>
        </w:rPr>
        <w:t>年度</w:t>
      </w:r>
      <w:r>
        <w:rPr>
          <w:rFonts w:hint="eastAsia" w:ascii="仿宋" w:hAnsi="仿宋" w:eastAsia="仿宋" w:cs="仿宋"/>
          <w:kern w:val="44"/>
          <w:sz w:val="32"/>
          <w:szCs w:val="32"/>
          <w:lang w:val="en-US" w:eastAsia="zh-CN"/>
        </w:rPr>
        <w:t>综合性工作经费</w:t>
      </w:r>
      <w:r>
        <w:rPr>
          <w:rFonts w:hint="eastAsia" w:ascii="仿宋" w:hAnsi="仿宋" w:eastAsia="仿宋" w:cs="仿宋"/>
          <w:kern w:val="44"/>
          <w:sz w:val="32"/>
          <w:szCs w:val="32"/>
        </w:rPr>
        <w:t>：</w:t>
      </w:r>
      <w:bookmarkStart w:id="18" w:name="OLE_LINK62"/>
      <w:r>
        <w:rPr>
          <w:rFonts w:hint="eastAsia" w:ascii="仿宋" w:hAnsi="仿宋" w:eastAsia="仿宋" w:cs="仿宋"/>
          <w:kern w:val="44"/>
          <w:sz w:val="32"/>
          <w:szCs w:val="32"/>
        </w:rPr>
        <w:t>项目全年预算数为</w:t>
      </w:r>
      <w:r>
        <w:rPr>
          <w:rFonts w:hint="eastAsia" w:ascii="仿宋" w:hAnsi="仿宋" w:eastAsia="仿宋" w:cs="仿宋"/>
          <w:kern w:val="44"/>
          <w:sz w:val="32"/>
          <w:szCs w:val="32"/>
          <w:lang w:val="en-US" w:eastAsia="zh-CN"/>
        </w:rPr>
        <w:t>76.8</w:t>
      </w:r>
      <w:r>
        <w:rPr>
          <w:rFonts w:hint="eastAsia" w:ascii="仿宋" w:hAnsi="仿宋" w:eastAsia="仿宋" w:cs="仿宋"/>
          <w:kern w:val="44"/>
          <w:sz w:val="32"/>
          <w:szCs w:val="32"/>
        </w:rPr>
        <w:t>万元，执行数为</w:t>
      </w:r>
      <w:r>
        <w:rPr>
          <w:rFonts w:hint="eastAsia" w:ascii="仿宋" w:hAnsi="仿宋" w:eastAsia="仿宋" w:cs="仿宋"/>
          <w:kern w:val="44"/>
          <w:sz w:val="32"/>
          <w:szCs w:val="32"/>
          <w:lang w:val="en-US" w:eastAsia="zh-CN"/>
        </w:rPr>
        <w:t>76.8</w:t>
      </w:r>
      <w:r>
        <w:rPr>
          <w:rFonts w:hint="eastAsia" w:ascii="仿宋" w:hAnsi="仿宋" w:eastAsia="仿宋" w:cs="仿宋"/>
          <w:kern w:val="44"/>
          <w:sz w:val="32"/>
          <w:szCs w:val="32"/>
        </w:rPr>
        <w:t>万元，完成预算的</w:t>
      </w:r>
      <w:r>
        <w:rPr>
          <w:rFonts w:hint="eastAsia" w:ascii="仿宋" w:hAnsi="仿宋" w:eastAsia="仿宋" w:cs="仿宋"/>
          <w:kern w:val="44"/>
          <w:sz w:val="32"/>
          <w:szCs w:val="32"/>
          <w:lang w:val="en-US" w:eastAsia="zh-CN"/>
        </w:rPr>
        <w:t>100</w:t>
      </w:r>
      <w:r>
        <w:rPr>
          <w:rFonts w:hint="eastAsia" w:ascii="仿宋" w:hAnsi="仿宋" w:eastAsia="仿宋" w:cs="仿宋"/>
          <w:kern w:val="44"/>
          <w:sz w:val="32"/>
          <w:szCs w:val="32"/>
        </w:rPr>
        <w:t>%。</w:t>
      </w:r>
      <w:bookmarkEnd w:id="18"/>
      <w:bookmarkStart w:id="19" w:name="OLE_LINK63"/>
      <w:r>
        <w:rPr>
          <w:rFonts w:hint="eastAsia" w:ascii="仿宋" w:hAnsi="仿宋" w:eastAsia="仿宋" w:cs="仿宋"/>
          <w:kern w:val="44"/>
          <w:sz w:val="32"/>
          <w:szCs w:val="32"/>
        </w:rPr>
        <w:t>主要产出和效益是</w:t>
      </w:r>
      <w:bookmarkEnd w:id="19"/>
      <w:r>
        <w:rPr>
          <w:rFonts w:hint="eastAsia" w:ascii="仿宋" w:hAnsi="仿宋" w:eastAsia="仿宋" w:cs="仿宋"/>
          <w:kern w:val="44"/>
          <w:sz w:val="32"/>
          <w:szCs w:val="32"/>
        </w:rPr>
        <w:t>：一是</w:t>
      </w:r>
      <w:r>
        <w:rPr>
          <w:rFonts w:hint="eastAsia" w:ascii="仿宋" w:hAnsi="仿宋" w:eastAsia="仿宋" w:cs="仿宋_GB2312"/>
          <w:sz w:val="32"/>
          <w:szCs w:val="32"/>
          <w:lang w:val="en-US" w:eastAsia="zh-CN"/>
        </w:rPr>
        <w:t>基金监管、带量采购医疗服务价格水平、工作正常运转。</w:t>
      </w:r>
      <w:r>
        <w:rPr>
          <w:rFonts w:hint="eastAsia" w:ascii="仿宋" w:hAnsi="仿宋" w:eastAsia="仿宋" w:cs="仿宋"/>
          <w:kern w:val="44"/>
          <w:sz w:val="32"/>
          <w:szCs w:val="32"/>
        </w:rPr>
        <w:t>二是</w:t>
      </w:r>
      <w:r>
        <w:rPr>
          <w:rFonts w:hint="eastAsia" w:ascii="仿宋" w:hAnsi="仿宋" w:eastAsia="仿宋" w:cs="仿宋_GB2312"/>
          <w:sz w:val="32"/>
          <w:szCs w:val="32"/>
          <w:lang w:val="en-US" w:eastAsia="zh-CN"/>
        </w:rPr>
        <w:t>食堂、物业服务保证机关安全、正常办公</w:t>
      </w:r>
      <w:r>
        <w:rPr>
          <w:rFonts w:hint="eastAsia" w:ascii="仿宋" w:hAnsi="仿宋" w:eastAsia="仿宋" w:cs="仿宋"/>
          <w:kern w:val="44"/>
          <w:sz w:val="32"/>
          <w:szCs w:val="32"/>
        </w:rPr>
        <w:t>。完成预算的100%。</w:t>
      </w:r>
    </w:p>
    <w:p>
      <w:pPr>
        <w:keepNext w:val="0"/>
        <w:keepLines w:val="0"/>
        <w:widowControl w:val="0"/>
        <w:suppressLineNumbers w:val="0"/>
        <w:autoSpaceDE w:val="0"/>
        <w:autoSpaceDN/>
        <w:adjustRightInd w:val="0"/>
        <w:snapToGrid w:val="0"/>
        <w:spacing w:before="0" w:beforeAutospacing="1" w:after="0" w:afterAutospacing="0" w:line="360" w:lineRule="auto"/>
        <w:ind w:left="0" w:right="0" w:firstLine="640" w:firstLineChars="200"/>
        <w:rPr>
          <w:rFonts w:hint="eastAsia" w:ascii="仿宋" w:hAnsi="仿宋" w:eastAsia="仿宋" w:cs="仿宋"/>
          <w:kern w:val="44"/>
          <w:sz w:val="32"/>
          <w:szCs w:val="32"/>
          <w:lang w:val="en-US" w:eastAsia="zh-CN"/>
        </w:rPr>
      </w:pPr>
      <w:r>
        <w:rPr>
          <w:rFonts w:hint="eastAsia" w:ascii="仿宋" w:hAnsi="仿宋" w:eastAsia="仿宋" w:cs="仿宋"/>
          <w:kern w:val="44"/>
          <w:sz w:val="32"/>
          <w:szCs w:val="32"/>
          <w:lang w:val="en-US" w:eastAsia="zh-CN"/>
        </w:rPr>
        <w:t>2.2023</w:t>
      </w:r>
      <w:r>
        <w:rPr>
          <w:rFonts w:hint="eastAsia" w:ascii="仿宋" w:hAnsi="仿宋" w:eastAsia="仿宋" w:cs="仿宋"/>
          <w:kern w:val="44"/>
          <w:sz w:val="32"/>
          <w:szCs w:val="32"/>
        </w:rPr>
        <w:t>年度</w:t>
      </w:r>
      <w:r>
        <w:rPr>
          <w:rFonts w:hint="eastAsia" w:ascii="仿宋" w:hAnsi="仿宋" w:eastAsia="仿宋" w:cs="仿宋"/>
          <w:kern w:val="44"/>
          <w:sz w:val="32"/>
          <w:szCs w:val="32"/>
          <w:lang w:val="en-US" w:eastAsia="zh-CN"/>
        </w:rPr>
        <w:t>基金审计：</w:t>
      </w:r>
      <w:bookmarkStart w:id="20" w:name="OLE_LINK64"/>
      <w:r>
        <w:rPr>
          <w:rFonts w:hint="eastAsia" w:ascii="仿宋" w:hAnsi="仿宋" w:eastAsia="仿宋" w:cs="仿宋"/>
          <w:kern w:val="44"/>
          <w:sz w:val="32"/>
          <w:szCs w:val="32"/>
        </w:rPr>
        <w:t>项目全年预算数为</w:t>
      </w:r>
      <w:r>
        <w:rPr>
          <w:rFonts w:hint="eastAsia" w:ascii="仿宋" w:hAnsi="仿宋" w:eastAsia="仿宋" w:cs="仿宋"/>
          <w:kern w:val="44"/>
          <w:sz w:val="32"/>
          <w:szCs w:val="32"/>
          <w:lang w:val="en-US" w:eastAsia="zh-CN"/>
        </w:rPr>
        <w:t>21</w:t>
      </w:r>
      <w:r>
        <w:rPr>
          <w:rFonts w:hint="eastAsia" w:ascii="仿宋" w:hAnsi="仿宋" w:eastAsia="仿宋" w:cs="仿宋"/>
          <w:kern w:val="44"/>
          <w:sz w:val="32"/>
          <w:szCs w:val="32"/>
        </w:rPr>
        <w:t>万元，执行数为</w:t>
      </w:r>
      <w:r>
        <w:rPr>
          <w:rFonts w:hint="eastAsia" w:ascii="仿宋" w:hAnsi="仿宋" w:eastAsia="仿宋" w:cs="仿宋"/>
          <w:kern w:val="44"/>
          <w:sz w:val="32"/>
          <w:szCs w:val="32"/>
          <w:lang w:val="en-US" w:eastAsia="zh-CN"/>
        </w:rPr>
        <w:t>21</w:t>
      </w:r>
      <w:r>
        <w:rPr>
          <w:rFonts w:hint="eastAsia" w:ascii="仿宋" w:hAnsi="仿宋" w:eastAsia="仿宋" w:cs="仿宋"/>
          <w:kern w:val="44"/>
          <w:sz w:val="32"/>
          <w:szCs w:val="32"/>
        </w:rPr>
        <w:t>万元，完成预算的</w:t>
      </w:r>
      <w:r>
        <w:rPr>
          <w:rFonts w:hint="eastAsia" w:ascii="仿宋" w:hAnsi="仿宋" w:eastAsia="仿宋" w:cs="仿宋"/>
          <w:kern w:val="44"/>
          <w:sz w:val="32"/>
          <w:szCs w:val="32"/>
          <w:lang w:val="en-US" w:eastAsia="zh-CN"/>
        </w:rPr>
        <w:t>100</w:t>
      </w:r>
      <w:r>
        <w:rPr>
          <w:rFonts w:hint="eastAsia" w:ascii="仿宋" w:hAnsi="仿宋" w:eastAsia="仿宋" w:cs="仿宋"/>
          <w:kern w:val="44"/>
          <w:sz w:val="32"/>
          <w:szCs w:val="32"/>
        </w:rPr>
        <w:t>%。</w:t>
      </w:r>
      <w:bookmarkEnd w:id="20"/>
      <w:bookmarkStart w:id="21" w:name="OLE_LINK65"/>
      <w:r>
        <w:rPr>
          <w:rFonts w:hint="eastAsia" w:ascii="仿宋" w:hAnsi="仿宋" w:eastAsia="仿宋" w:cs="仿宋"/>
          <w:kern w:val="44"/>
          <w:sz w:val="32"/>
          <w:szCs w:val="32"/>
        </w:rPr>
        <w:t>主要产出和效益是</w:t>
      </w:r>
      <w:r>
        <w:rPr>
          <w:rFonts w:hint="eastAsia" w:ascii="仿宋" w:hAnsi="仿宋" w:eastAsia="仿宋" w:cs="仿宋"/>
          <w:kern w:val="44"/>
          <w:sz w:val="32"/>
          <w:szCs w:val="32"/>
          <w:lang w:eastAsia="zh-CN"/>
        </w:rPr>
        <w:t>：</w:t>
      </w:r>
      <w:bookmarkEnd w:id="21"/>
      <w:r>
        <w:rPr>
          <w:rFonts w:hint="eastAsia" w:ascii="仿宋" w:hAnsi="仿宋" w:eastAsia="仿宋" w:cs="仿宋"/>
          <w:kern w:val="44"/>
          <w:sz w:val="32"/>
          <w:szCs w:val="32"/>
          <w:lang w:eastAsia="zh-CN"/>
        </w:rPr>
        <w:t>一是</w:t>
      </w:r>
      <w:r>
        <w:rPr>
          <w:rFonts w:hint="eastAsia" w:ascii="仿宋" w:hAnsi="仿宋" w:eastAsia="仿宋" w:cs="Times New Roman"/>
          <w:bCs/>
          <w:color w:val="000000"/>
          <w:sz w:val="32"/>
          <w:szCs w:val="32"/>
          <w:lang w:val="en-US" w:eastAsia="zh-CN"/>
        </w:rPr>
        <w:t>基金收支审计服务次数≥2次。二是</w:t>
      </w:r>
      <w:r>
        <w:rPr>
          <w:rFonts w:hint="eastAsia" w:ascii="仿宋" w:hAnsi="仿宋" w:eastAsia="仿宋" w:cs="仿宋_GB2312"/>
          <w:sz w:val="32"/>
          <w:szCs w:val="32"/>
          <w:lang w:val="en-US" w:eastAsia="zh-CN"/>
        </w:rPr>
        <w:t>预算执行率偏离度绝对值≤10%。</w:t>
      </w:r>
      <w:r>
        <w:rPr>
          <w:rFonts w:hint="eastAsia" w:ascii="仿宋" w:hAnsi="仿宋" w:eastAsia="仿宋" w:cs="仿宋"/>
          <w:kern w:val="44"/>
          <w:sz w:val="32"/>
          <w:szCs w:val="32"/>
        </w:rPr>
        <w:t>完成预算的100%</w:t>
      </w:r>
    </w:p>
    <w:p>
      <w:pPr>
        <w:keepNext w:val="0"/>
        <w:keepLines w:val="0"/>
        <w:widowControl w:val="0"/>
        <w:suppressLineNumbers w:val="0"/>
        <w:autoSpaceDE w:val="0"/>
        <w:autoSpaceDN/>
        <w:adjustRightInd w:val="0"/>
        <w:snapToGrid w:val="0"/>
        <w:spacing w:before="0" w:beforeAutospacing="1" w:after="0" w:afterAutospacing="0" w:line="360" w:lineRule="auto"/>
        <w:ind w:left="0" w:right="0" w:firstLine="640" w:firstLineChars="200"/>
        <w:rPr>
          <w:rFonts w:hint="default" w:ascii="仿宋" w:hAnsi="仿宋" w:eastAsia="仿宋" w:cs="仿宋"/>
          <w:kern w:val="44"/>
          <w:sz w:val="32"/>
          <w:szCs w:val="32"/>
          <w:lang w:val="en-US" w:eastAsia="zh-CN"/>
        </w:rPr>
      </w:pPr>
      <w:r>
        <w:rPr>
          <w:rFonts w:hint="eastAsia" w:ascii="仿宋" w:hAnsi="仿宋" w:eastAsia="仿宋" w:cs="仿宋"/>
          <w:kern w:val="44"/>
          <w:sz w:val="32"/>
          <w:szCs w:val="32"/>
          <w:lang w:val="en-US" w:eastAsia="zh-CN"/>
        </w:rPr>
        <w:t>3.</w:t>
      </w:r>
      <w:r>
        <w:rPr>
          <w:rFonts w:hint="eastAsia" w:ascii="仿宋" w:hAnsi="仿宋" w:eastAsia="仿宋" w:cs="Times New Roman"/>
          <w:bCs/>
          <w:color w:val="000000"/>
          <w:sz w:val="32"/>
          <w:szCs w:val="32"/>
          <w:lang w:val="en-US" w:eastAsia="zh-CN"/>
        </w:rPr>
        <w:t>2023年度政府购买服务：</w:t>
      </w:r>
      <w:r>
        <w:rPr>
          <w:rFonts w:hint="eastAsia" w:ascii="仿宋" w:hAnsi="仿宋" w:eastAsia="仿宋" w:cs="仿宋"/>
          <w:kern w:val="44"/>
          <w:sz w:val="32"/>
          <w:szCs w:val="32"/>
        </w:rPr>
        <w:t>项目全年预算数为</w:t>
      </w:r>
      <w:r>
        <w:rPr>
          <w:rFonts w:hint="eastAsia" w:ascii="仿宋" w:hAnsi="仿宋" w:eastAsia="仿宋" w:cs="仿宋"/>
          <w:kern w:val="44"/>
          <w:sz w:val="32"/>
          <w:szCs w:val="32"/>
          <w:lang w:val="en-US" w:eastAsia="zh-CN"/>
        </w:rPr>
        <w:t>86</w:t>
      </w:r>
      <w:r>
        <w:rPr>
          <w:rFonts w:hint="eastAsia" w:ascii="仿宋" w:hAnsi="仿宋" w:eastAsia="仿宋" w:cs="仿宋"/>
          <w:kern w:val="44"/>
          <w:sz w:val="32"/>
          <w:szCs w:val="32"/>
        </w:rPr>
        <w:t>万元，执行数为</w:t>
      </w:r>
      <w:r>
        <w:rPr>
          <w:rFonts w:hint="eastAsia" w:ascii="仿宋" w:hAnsi="仿宋" w:eastAsia="仿宋" w:cs="仿宋"/>
          <w:kern w:val="44"/>
          <w:sz w:val="32"/>
          <w:szCs w:val="32"/>
          <w:lang w:val="en-US" w:eastAsia="zh-CN"/>
        </w:rPr>
        <w:t>86</w:t>
      </w:r>
      <w:r>
        <w:rPr>
          <w:rFonts w:hint="eastAsia" w:ascii="仿宋" w:hAnsi="仿宋" w:eastAsia="仿宋" w:cs="仿宋"/>
          <w:kern w:val="44"/>
          <w:sz w:val="32"/>
          <w:szCs w:val="32"/>
        </w:rPr>
        <w:t>万元，完成预算的</w:t>
      </w:r>
      <w:r>
        <w:rPr>
          <w:rFonts w:hint="eastAsia" w:ascii="仿宋" w:hAnsi="仿宋" w:eastAsia="仿宋" w:cs="仿宋"/>
          <w:kern w:val="44"/>
          <w:sz w:val="32"/>
          <w:szCs w:val="32"/>
          <w:lang w:val="en-US" w:eastAsia="zh-CN"/>
        </w:rPr>
        <w:t>100</w:t>
      </w:r>
      <w:r>
        <w:rPr>
          <w:rFonts w:hint="eastAsia" w:ascii="仿宋" w:hAnsi="仿宋" w:eastAsia="仿宋" w:cs="仿宋"/>
          <w:kern w:val="44"/>
          <w:sz w:val="32"/>
          <w:szCs w:val="32"/>
        </w:rPr>
        <w:t>%。主要产出和效益是</w:t>
      </w:r>
      <w:r>
        <w:rPr>
          <w:rFonts w:hint="eastAsia" w:ascii="仿宋" w:hAnsi="仿宋" w:eastAsia="仿宋" w:cs="仿宋"/>
          <w:kern w:val="44"/>
          <w:sz w:val="32"/>
          <w:szCs w:val="32"/>
          <w:lang w:eastAsia="zh-CN"/>
        </w:rPr>
        <w:t>：一是</w:t>
      </w:r>
      <w:r>
        <w:rPr>
          <w:rFonts w:hint="eastAsia" w:ascii="仿宋" w:hAnsi="仿宋" w:eastAsia="仿宋" w:cs="Times New Roman"/>
          <w:bCs/>
          <w:color w:val="000000"/>
          <w:sz w:val="32"/>
          <w:szCs w:val="32"/>
          <w:lang w:val="en-US" w:eastAsia="zh-CN"/>
        </w:rPr>
        <w:t>机关后勤管理预计当年实现“得到保障”。二是预计当年实现受众调查问卷满意度比率达≥90%。</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楷体" w:hAnsi="楷体" w:eastAsia="楷体" w:cs="楷体"/>
          <w:kern w:val="44"/>
          <w:sz w:val="32"/>
          <w:szCs w:val="32"/>
        </w:rPr>
      </w:pPr>
      <w:r>
        <w:rPr>
          <w:rFonts w:hint="eastAsia" w:ascii="楷体" w:hAnsi="楷体" w:eastAsia="楷体" w:cs="楷体"/>
          <w:kern w:val="44"/>
          <w:sz w:val="32"/>
          <w:szCs w:val="32"/>
        </w:rPr>
        <w:t>(四)绩效自评结果应用情况</w:t>
      </w:r>
    </w:p>
    <w:p>
      <w:pPr>
        <w:keepNext w:val="0"/>
        <w:keepLines w:val="0"/>
        <w:widowControl w:val="0"/>
        <w:suppressLineNumbers w:val="0"/>
        <w:autoSpaceDE w:val="0"/>
        <w:autoSpaceDN/>
        <w:spacing w:before="160" w:beforeAutospacing="0" w:line="360" w:lineRule="auto"/>
        <w:ind w:left="0" w:firstLine="676" w:firstLineChars="200"/>
        <w:jc w:val="left"/>
        <w:rPr>
          <w:rFonts w:hint="eastAsia" w:ascii="宋体" w:hAnsi="宋体" w:eastAsia="宋体" w:cs="宋体"/>
          <w:kern w:val="0"/>
          <w:sz w:val="24"/>
          <w:szCs w:val="24"/>
        </w:rPr>
      </w:pPr>
      <w:r>
        <w:rPr>
          <w:rFonts w:hint="eastAsia" w:ascii="仿宋" w:hAnsi="仿宋" w:eastAsia="仿宋" w:cs="仿宋"/>
          <w:spacing w:val="9"/>
          <w:kern w:val="0"/>
          <w:sz w:val="32"/>
          <w:szCs w:val="32"/>
        </w:rPr>
        <w:t>项目完成具有较好社会效益，今后也会严格按照各项支出</w:t>
      </w:r>
      <w:r>
        <w:rPr>
          <w:rFonts w:hint="eastAsia" w:ascii="仿宋" w:hAnsi="仿宋" w:eastAsia="仿宋" w:cs="仿宋"/>
          <w:spacing w:val="5"/>
          <w:kern w:val="0"/>
          <w:sz w:val="32"/>
          <w:szCs w:val="32"/>
        </w:rPr>
        <w:t xml:space="preserve"> </w:t>
      </w:r>
      <w:r>
        <w:rPr>
          <w:rFonts w:hint="eastAsia" w:ascii="仿宋" w:hAnsi="仿宋" w:eastAsia="仿宋" w:cs="仿宋"/>
          <w:spacing w:val="8"/>
          <w:kern w:val="0"/>
          <w:sz w:val="32"/>
          <w:szCs w:val="32"/>
        </w:rPr>
        <w:t>的用途和具体的规定，实行专款专用，充分发挥项目工作经费</w:t>
      </w:r>
      <w:r>
        <w:rPr>
          <w:rFonts w:hint="eastAsia" w:ascii="仿宋" w:hAnsi="仿宋" w:eastAsia="仿宋" w:cs="仿宋"/>
          <w:spacing w:val="1"/>
          <w:kern w:val="0"/>
          <w:sz w:val="32"/>
          <w:szCs w:val="32"/>
        </w:rPr>
        <w:t>的使用效益。</w:t>
      </w:r>
    </w:p>
    <w:p>
      <w:pPr>
        <w:spacing w:line="360" w:lineRule="auto"/>
        <w:rPr>
          <w:rFonts w:hint="eastAsia" w:ascii="黑体" w:hAnsi="宋体" w:eastAsia="黑体" w:cs="黑体"/>
          <w:b/>
          <w:kern w:val="0"/>
          <w:sz w:val="36"/>
          <w:szCs w:val="36"/>
        </w:rPr>
        <w:sectPr>
          <w:pgSz w:w="11915" w:h="16851"/>
          <w:pgMar w:top="2098" w:right="1474" w:bottom="1984" w:left="1587" w:header="851" w:footer="992" w:gutter="0"/>
          <w:cols w:space="0" w:num="1"/>
        </w:sectPr>
      </w:pPr>
    </w:p>
    <w:p>
      <w:pPr>
        <w:keepNext w:val="0"/>
        <w:keepLines w:val="0"/>
        <w:widowControl/>
        <w:suppressLineNumbers w:val="0"/>
        <w:adjustRightInd w:val="0"/>
        <w:snapToGrid w:val="0"/>
        <w:spacing w:before="0" w:beforeAutospacing="1" w:after="0" w:afterAutospacing="1" w:line="360" w:lineRule="auto"/>
        <w:ind w:right="0"/>
        <w:jc w:val="center"/>
        <w:outlineLvl w:val="0"/>
        <w:rPr>
          <w:rFonts w:hint="eastAsia" w:ascii="黑体" w:hAnsi="宋体" w:eastAsia="黑体" w:cs="黑体"/>
          <w:b/>
          <w:kern w:val="0"/>
          <w:sz w:val="36"/>
          <w:szCs w:val="36"/>
        </w:rPr>
      </w:pPr>
      <w:r>
        <w:rPr>
          <w:rFonts w:hint="eastAsia" w:ascii="黑体" w:hAnsi="宋体" w:eastAsia="黑体" w:cs="黑体"/>
          <w:b/>
          <w:kern w:val="0"/>
          <w:sz w:val="36"/>
          <w:szCs w:val="36"/>
        </w:rPr>
        <w:t>第四部分 202</w:t>
      </w:r>
      <w:r>
        <w:rPr>
          <w:rFonts w:hint="eastAsia" w:ascii="黑体" w:eastAsia="黑体" w:cs="黑体"/>
          <w:b/>
          <w:kern w:val="0"/>
          <w:sz w:val="36"/>
          <w:szCs w:val="36"/>
          <w:lang w:val="en-US" w:eastAsia="zh-CN"/>
        </w:rPr>
        <w:t>3</w:t>
      </w:r>
      <w:r>
        <w:rPr>
          <w:rFonts w:hint="eastAsia" w:ascii="黑体" w:hAnsi="宋体" w:eastAsia="黑体" w:cs="黑体"/>
          <w:b/>
          <w:kern w:val="0"/>
          <w:sz w:val="36"/>
          <w:szCs w:val="36"/>
        </w:rPr>
        <w:t>年重点工作完成情况</w:t>
      </w:r>
    </w:p>
    <w:p>
      <w:pPr>
        <w:keepNext w:val="0"/>
        <w:keepLines w:val="0"/>
        <w:widowControl w:val="0"/>
        <w:suppressLineNumbers w:val="0"/>
        <w:autoSpaceDE w:val="0"/>
        <w:autoSpaceDN/>
        <w:spacing w:before="160" w:beforeAutospacing="0" w:line="360" w:lineRule="auto"/>
        <w:ind w:left="0" w:firstLine="676" w:firstLineChars="200"/>
        <w:jc w:val="left"/>
        <w:rPr>
          <w:rFonts w:hint="eastAsia" w:ascii="仿宋" w:hAnsi="仿宋" w:eastAsia="仿宋" w:cs="仿宋"/>
          <w:spacing w:val="9"/>
          <w:kern w:val="0"/>
          <w:sz w:val="32"/>
          <w:szCs w:val="32"/>
        </w:rPr>
      </w:pPr>
      <w:r>
        <w:rPr>
          <w:rFonts w:hint="eastAsia" w:ascii="仿宋" w:hAnsi="仿宋" w:eastAsia="仿宋" w:cs="仿宋"/>
          <w:spacing w:val="9"/>
          <w:kern w:val="0"/>
          <w:sz w:val="32"/>
          <w:szCs w:val="32"/>
        </w:rPr>
        <w:t>区医保局坚持以习近平新时代中国特色社会主义思想为指导，深入贯彻党的十九届五中、六中全会和省市区“两会”精神，按照国家、省、市医保局和区委、区政府工作部署，坚持以人民为中心的发展思想，坚持稳中求进工作总基调，以推进医疗保障制度改革为主线，着力完善制度、强化管理、提质增效、化解风险，不断提高人民群众医疗保障获得感、幸福感和安全感，为把蔡甸建设成为现代化大武汉的重要增长极和靓丽窗口提供支撑和保障，为“十四五”开好局，以优异成绩庆祝建党100周年。现对区医保局202</w:t>
      </w:r>
      <w:r>
        <w:rPr>
          <w:rFonts w:hint="eastAsia" w:ascii="仿宋" w:hAnsi="仿宋" w:eastAsia="仿宋" w:cs="仿宋"/>
          <w:spacing w:val="9"/>
          <w:kern w:val="0"/>
          <w:sz w:val="32"/>
          <w:szCs w:val="32"/>
          <w:lang w:val="en-US" w:eastAsia="zh-CN"/>
        </w:rPr>
        <w:t>3</w:t>
      </w:r>
      <w:r>
        <w:rPr>
          <w:rFonts w:hint="eastAsia" w:ascii="仿宋" w:hAnsi="仿宋" w:eastAsia="仿宋" w:cs="仿宋"/>
          <w:spacing w:val="9"/>
          <w:kern w:val="0"/>
          <w:sz w:val="32"/>
          <w:szCs w:val="32"/>
        </w:rPr>
        <w:t>年主要工作完成情况进行梳理总结：</w:t>
      </w:r>
    </w:p>
    <w:p>
      <w:pPr>
        <w:keepNext w:val="0"/>
        <w:keepLines w:val="0"/>
        <w:widowControl w:val="0"/>
        <w:suppressLineNumbers w:val="0"/>
        <w:autoSpaceDE w:val="0"/>
        <w:autoSpaceDN/>
        <w:spacing w:before="160" w:beforeAutospacing="0" w:line="360" w:lineRule="auto"/>
        <w:ind w:left="0" w:firstLine="643" w:firstLineChars="200"/>
        <w:jc w:val="left"/>
        <w:rPr>
          <w:rFonts w:hint="eastAsia" w:ascii="楷体_GB2312" w:hAnsi="楷体_GB2312" w:eastAsia="楷体_GB2312" w:cs="楷体_GB2312"/>
          <w:b/>
          <w:bCs/>
          <w:kern w:val="2"/>
          <w:sz w:val="32"/>
          <w:szCs w:val="32"/>
          <w:highlight w:val="none"/>
          <w:lang w:val="en-US" w:eastAsia="zh-CN" w:bidi="ar-SA"/>
        </w:rPr>
      </w:pPr>
      <w:bookmarkStart w:id="22" w:name="OLE_LINK15"/>
      <w:r>
        <w:rPr>
          <w:rFonts w:hint="eastAsia" w:ascii="楷体_GB2312" w:hAnsi="楷体_GB2312" w:eastAsia="楷体_GB2312" w:cs="楷体_GB2312"/>
          <w:b/>
          <w:bCs/>
          <w:kern w:val="2"/>
          <w:sz w:val="32"/>
          <w:szCs w:val="32"/>
          <w:highlight w:val="none"/>
          <w:lang w:val="en-US" w:eastAsia="zh-CN" w:bidi="ar-SA"/>
        </w:rPr>
        <w:t>一、围绕“四大比拼”，服务全区经济社会发展</w:t>
      </w:r>
      <w:bookmarkEnd w:id="22"/>
      <w:r>
        <w:rPr>
          <w:rFonts w:hint="eastAsia" w:ascii="楷体_GB2312" w:hAnsi="楷体_GB2312" w:eastAsia="楷体_GB2312" w:cs="楷体_GB2312"/>
          <w:b/>
          <w:bCs/>
          <w:kern w:val="2"/>
          <w:sz w:val="32"/>
          <w:szCs w:val="32"/>
          <w:highlight w:val="none"/>
          <w:lang w:val="en-US" w:eastAsia="zh-CN" w:bidi="ar-SA"/>
        </w:rPr>
        <w:t>。</w:t>
      </w:r>
      <w:bookmarkStart w:id="23" w:name="OLE_LINK16"/>
      <w:bookmarkStart w:id="24" w:name="OLE_LINK17"/>
    </w:p>
    <w:p>
      <w:pPr>
        <w:keepNext w:val="0"/>
        <w:keepLines w:val="0"/>
        <w:widowControl w:val="0"/>
        <w:suppressLineNumbers w:val="0"/>
        <w:autoSpaceDE w:val="0"/>
        <w:autoSpaceDN/>
        <w:spacing w:before="160" w:beforeAutospacing="0" w:line="360" w:lineRule="auto"/>
        <w:ind w:left="0" w:firstLine="643" w:firstLineChars="200"/>
        <w:jc w:val="left"/>
        <w:rPr>
          <w:rFonts w:hint="eastAsia" w:ascii="仿宋" w:hAnsi="仿宋" w:eastAsia="仿宋" w:cs="仿宋"/>
          <w:spacing w:val="9"/>
          <w:kern w:val="0"/>
          <w:sz w:val="32"/>
          <w:szCs w:val="32"/>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优化全区医保营商环境。</w:t>
      </w:r>
      <w:r>
        <w:rPr>
          <w:rFonts w:hint="eastAsia" w:ascii="仿宋_GB2312" w:hAnsi="仿宋_GB2312" w:eastAsia="仿宋_GB2312" w:cs="仿宋_GB2312"/>
          <w:sz w:val="32"/>
          <w:szCs w:val="32"/>
          <w:lang w:eastAsia="zh-CN"/>
        </w:rPr>
        <w:t>推动区医保中心整体入驻区市民之家，</w:t>
      </w:r>
      <w:r>
        <w:rPr>
          <w:rFonts w:hint="eastAsia" w:ascii="仿宋_GB2312" w:hAnsi="仿宋_GB2312" w:eastAsia="仿宋_GB2312" w:cs="仿宋_GB2312"/>
          <w:sz w:val="32"/>
          <w:szCs w:val="32"/>
          <w:highlight w:val="none"/>
          <w:lang w:eastAsia="zh-CN"/>
        </w:rPr>
        <w:t>实现医保经办事项“只进一扇门”。</w:t>
      </w:r>
      <w:bookmarkEnd w:id="23"/>
      <w:r>
        <w:rPr>
          <w:rFonts w:hint="eastAsia" w:ascii="仿宋_GB2312" w:hAnsi="仿宋_GB2312" w:eastAsia="仿宋_GB2312" w:cs="仿宋_GB2312"/>
          <w:sz w:val="32"/>
          <w:szCs w:val="32"/>
          <w:highlight w:val="none"/>
          <w:lang w:val="en-US" w:eastAsia="zh-CN"/>
        </w:rPr>
        <w:t>深化“高效办成一件事”改革，</w:t>
      </w:r>
      <w:r>
        <w:rPr>
          <w:rFonts w:hint="eastAsia" w:ascii="仿宋_GB2312" w:hAnsi="仿宋_GB2312" w:eastAsia="仿宋_GB2312" w:cs="仿宋_GB2312"/>
          <w:sz w:val="32"/>
          <w:szCs w:val="32"/>
          <w:lang w:val="en-US" w:eastAsia="zh-CN"/>
        </w:rPr>
        <w:t>拓展参保登记、医疗费用报销等事项“一事联办”审批模式，</w:t>
      </w:r>
      <w:r>
        <w:rPr>
          <w:rFonts w:hint="eastAsia" w:ascii="仿宋_GB2312" w:hAnsi="仿宋_GB2312" w:eastAsia="仿宋_GB2312" w:cs="仿宋_GB2312"/>
          <w:sz w:val="32"/>
          <w:szCs w:val="32"/>
          <w:highlight w:val="none"/>
          <w:lang w:val="en-US" w:eastAsia="zh-CN"/>
        </w:rPr>
        <w:t>便捷服务全区企业和群众。</w:t>
      </w:r>
      <w:r>
        <w:rPr>
          <w:rFonts w:hint="eastAsia" w:ascii="仿宋_GB2312" w:hAnsi="仿宋_GB2312" w:eastAsia="仿宋_GB2312" w:cs="仿宋_GB2312"/>
          <w:sz w:val="32"/>
          <w:szCs w:val="32"/>
          <w:lang w:val="en-US" w:eastAsia="zh-CN"/>
        </w:rPr>
        <w:t>开展异地就医直接结算政策集中宣传月活动，扩大异地就医直接结算定点医药机构覆盖范围，做好异地就医住院、普通门诊、门诊统筹直接结算。</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立足医保职能，服务重大项目建设。</w:t>
      </w:r>
      <w:r>
        <w:rPr>
          <w:rFonts w:hint="eastAsia" w:ascii="仿宋_GB2312" w:hAnsi="仿宋_GB2312" w:eastAsia="仿宋_GB2312" w:cs="仿宋_GB2312"/>
          <w:color w:val="auto"/>
          <w:sz w:val="32"/>
          <w:szCs w:val="32"/>
          <w:highlight w:val="none"/>
          <w:lang w:val="en-US" w:eastAsia="zh-CN"/>
        </w:rPr>
        <w:t>定期对接区发改、经信等部</w:t>
      </w:r>
      <w:bookmarkEnd w:id="24"/>
      <w:r>
        <w:rPr>
          <w:rFonts w:hint="eastAsia" w:ascii="仿宋_GB2312" w:hAnsi="仿宋_GB2312" w:eastAsia="仿宋_GB2312" w:cs="仿宋_GB2312"/>
          <w:color w:val="auto"/>
          <w:sz w:val="32"/>
          <w:szCs w:val="32"/>
          <w:highlight w:val="none"/>
          <w:lang w:val="en-US" w:eastAsia="zh-CN"/>
        </w:rPr>
        <w:t>门，对落户我区的重大项目、重大企业，跟进服务企业参保登记、落实医保待遇。</w:t>
      </w:r>
      <w:bookmarkStart w:id="25" w:name="OLE_LINK18"/>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助力全区创新驱动。</w:t>
      </w:r>
      <w:bookmarkEnd w:id="25"/>
      <w:bookmarkStart w:id="26" w:name="OLE_LINK19"/>
      <w:r>
        <w:rPr>
          <w:rFonts w:hint="eastAsia" w:ascii="仿宋_GB2312" w:hAnsi="仿宋_GB2312" w:eastAsia="仿宋_GB2312" w:cs="仿宋_GB2312"/>
          <w:sz w:val="32"/>
          <w:szCs w:val="32"/>
          <w:highlight w:val="none"/>
          <w:lang w:val="en-US" w:eastAsia="zh-CN"/>
        </w:rPr>
        <w:t>对全区2万余名国有困难企业和城镇集体困难企业退休职工开展清理，进一步规范后续参保缴费管理。</w:t>
      </w:r>
      <w:bookmarkEnd w:id="2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2"/>
          <w:sz w:val="32"/>
          <w:szCs w:val="32"/>
          <w:highlight w:val="none"/>
          <w:lang w:val="en-US" w:eastAsia="zh-CN" w:bidi="ar-SA"/>
        </w:rPr>
      </w:pPr>
      <w:bookmarkStart w:id="27" w:name="OLE_LINK20"/>
      <w:r>
        <w:rPr>
          <w:rFonts w:hint="eastAsia" w:ascii="楷体_GB2312" w:hAnsi="楷体_GB2312" w:eastAsia="楷体_GB2312" w:cs="楷体_GB2312"/>
          <w:b/>
          <w:bCs/>
          <w:kern w:val="2"/>
          <w:sz w:val="32"/>
          <w:szCs w:val="32"/>
          <w:highlight w:val="none"/>
          <w:lang w:val="en-US" w:eastAsia="zh-CN" w:bidi="ar-SA"/>
        </w:rPr>
        <w:t>二、坚持保障优先，确保医保制度平稳运行。</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0"/>
          <w:sz w:val="32"/>
          <w:szCs w:val="32"/>
          <w:highlight w:val="yellow"/>
          <w:lang w:val="en-US" w:eastAsia="zh-CN" w:bidi="ar"/>
        </w:rPr>
      </w:pP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全面做好基本医保参保工作。高起点动员部署，组织召开全区基本医保参保工作会，</w:t>
      </w:r>
      <w:r>
        <w:rPr>
          <w:rFonts w:hint="eastAsia" w:ascii="仿宋_GB2312" w:hAnsi="仿宋_GB2312" w:eastAsia="仿宋_GB2312" w:cs="仿宋_GB2312"/>
          <w:sz w:val="32"/>
          <w:szCs w:val="32"/>
          <w:lang w:eastAsia="zh-CN"/>
        </w:rPr>
        <w:t>构建</w:t>
      </w:r>
      <w:r>
        <w:rPr>
          <w:rFonts w:hint="eastAsia" w:ascii="仿宋_GB2312" w:hAnsi="仿宋_GB2312" w:eastAsia="仿宋_GB2312" w:cs="仿宋_GB2312"/>
          <w:sz w:val="32"/>
          <w:szCs w:val="32"/>
        </w:rPr>
        <w:t>区政府主导、各部门密切配合、各街乡主体实施的工作格局。</w:t>
      </w:r>
      <w:r>
        <w:rPr>
          <w:rFonts w:hint="eastAsia" w:ascii="仿宋_GB2312" w:hAnsi="仿宋_GB2312" w:eastAsia="仿宋_GB2312" w:cs="仿宋_GB2312"/>
          <w:sz w:val="32"/>
          <w:szCs w:val="32"/>
          <w:lang w:eastAsia="zh-CN"/>
        </w:rPr>
        <w:t>全方位</w:t>
      </w:r>
      <w:r>
        <w:rPr>
          <w:rFonts w:hint="eastAsia" w:ascii="仿宋_GB2312" w:hAnsi="仿宋_GB2312" w:eastAsia="仿宋_GB2312" w:cs="仿宋_GB2312"/>
          <w:sz w:val="32"/>
          <w:szCs w:val="32"/>
        </w:rPr>
        <w:t>深摸细排</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rPr>
        <w:t>市局下发的</w:t>
      </w:r>
      <w:r>
        <w:rPr>
          <w:rFonts w:hint="eastAsia" w:ascii="仿宋_GB2312" w:hAnsi="仿宋_GB2312" w:eastAsia="仿宋_GB2312" w:cs="仿宋_GB2312"/>
          <w:sz w:val="32"/>
          <w:szCs w:val="32"/>
          <w:lang w:eastAsia="zh-CN"/>
        </w:rPr>
        <w:t>未参保</w:t>
      </w:r>
      <w:r>
        <w:rPr>
          <w:rFonts w:hint="eastAsia" w:ascii="仿宋_GB2312" w:hAnsi="仿宋_GB2312" w:eastAsia="仿宋_GB2312" w:cs="仿宋_GB2312"/>
          <w:sz w:val="32"/>
          <w:szCs w:val="32"/>
        </w:rPr>
        <w:t>人名单，协调</w:t>
      </w:r>
      <w:r>
        <w:rPr>
          <w:rFonts w:hint="eastAsia" w:ascii="仿宋_GB2312" w:hAnsi="仿宋_GB2312" w:eastAsia="仿宋_GB2312" w:cs="仿宋_GB2312"/>
          <w:sz w:val="32"/>
          <w:szCs w:val="32"/>
          <w:lang w:eastAsia="zh-CN"/>
        </w:rPr>
        <w:t>多个部门，掌握全区新业态人员信息，比对出参保情况并按辖区</w:t>
      </w:r>
      <w:r>
        <w:rPr>
          <w:rFonts w:hint="eastAsia" w:ascii="仿宋_GB2312" w:hAnsi="仿宋_GB2312" w:eastAsia="仿宋_GB2312" w:cs="仿宋_GB2312"/>
          <w:sz w:val="32"/>
          <w:szCs w:val="32"/>
        </w:rPr>
        <w:t>推送至街乡，作为参保登记并力争扩面的基础依据。坚持社会面宣传和点对点宣传相结合，</w:t>
      </w:r>
      <w:r>
        <w:rPr>
          <w:rFonts w:hint="eastAsia" w:ascii="仿宋_GB2312" w:hAnsi="仿宋_GB2312" w:eastAsia="仿宋_GB2312" w:cs="仿宋_GB2312"/>
          <w:sz w:val="32"/>
          <w:szCs w:val="32"/>
          <w:lang w:eastAsia="zh-CN"/>
        </w:rPr>
        <w:t>深入开展“十进”活动，</w:t>
      </w:r>
      <w:r>
        <w:rPr>
          <w:rFonts w:hint="eastAsia" w:ascii="仿宋_GB2312" w:hAnsi="仿宋_GB2312" w:eastAsia="仿宋_GB2312" w:cs="仿宋_GB2312"/>
          <w:sz w:val="32"/>
          <w:szCs w:val="32"/>
        </w:rPr>
        <w:t>重点组织全区12个街乡加强农村外来务工、城市流动人员的定向宣传发动</w:t>
      </w:r>
      <w:r>
        <w:rPr>
          <w:rFonts w:hint="eastAsia" w:ascii="仿宋_GB2312" w:hAnsi="仿宋_GB2312" w:eastAsia="仿宋_GB2312" w:cs="仿宋_GB2312"/>
          <w:sz w:val="32"/>
          <w:szCs w:val="32"/>
          <w:lang w:eastAsia="zh-CN"/>
        </w:rPr>
        <w:t>。</w:t>
      </w:r>
      <w:bookmarkStart w:id="28" w:name="OLE_LINK23"/>
      <w:r>
        <w:rPr>
          <w:rFonts w:hint="eastAsia" w:ascii="仿宋_GB2312" w:hAnsi="仿宋" w:eastAsia="仿宋_GB2312" w:cs="宋体"/>
          <w:b w:val="0"/>
          <w:bCs w:val="0"/>
          <w:color w:val="000000"/>
          <w:kern w:val="0"/>
          <w:sz w:val="32"/>
          <w:szCs w:val="32"/>
          <w:highlight w:val="none"/>
          <w:lang w:eastAsia="zh-CN"/>
        </w:rPr>
        <w:t>截至</w:t>
      </w:r>
      <w:r>
        <w:rPr>
          <w:rFonts w:hint="eastAsia" w:ascii="仿宋_GB2312" w:hAnsi="仿宋" w:eastAsia="仿宋_GB2312" w:cs="宋体"/>
          <w:b w:val="0"/>
          <w:bCs w:val="0"/>
          <w:color w:val="000000"/>
          <w:kern w:val="0"/>
          <w:sz w:val="32"/>
          <w:szCs w:val="32"/>
          <w:highlight w:val="none"/>
          <w:lang w:val="en-US" w:eastAsia="zh-CN"/>
        </w:rPr>
        <w:t>目前，我区基本医保参保人数达到43.67万人，其中，</w:t>
      </w:r>
      <w:r>
        <w:rPr>
          <w:rFonts w:hint="eastAsia" w:ascii="仿宋_GB2312" w:hAnsi="仿宋_GB2312" w:eastAsia="仿宋_GB2312" w:cs="仿宋_GB2312"/>
          <w:b w:val="0"/>
          <w:bCs w:val="0"/>
          <w:sz w:val="32"/>
          <w:szCs w:val="32"/>
          <w:highlight w:val="none"/>
          <w:lang w:val="en-US" w:eastAsia="zh-CN"/>
        </w:rPr>
        <w:t>居民医保309801人，</w:t>
      </w:r>
      <w:r>
        <w:rPr>
          <w:rFonts w:hint="eastAsia" w:ascii="仿宋_GB2312" w:eastAsia="仿宋_GB2312" w:cs="仿宋_GB2312"/>
          <w:b w:val="0"/>
          <w:bCs w:val="0"/>
          <w:sz w:val="32"/>
          <w:szCs w:val="32"/>
          <w:highlight w:val="none"/>
          <w:lang w:val="en-US" w:eastAsia="zh-CN"/>
        </w:rPr>
        <w:t>职工参保126874人</w:t>
      </w:r>
      <w:r>
        <w:rPr>
          <w:rFonts w:hint="eastAsia" w:ascii="仿宋_GB2312" w:hAnsi="仿宋" w:eastAsia="仿宋_GB2312" w:cs="宋体"/>
          <w:b w:val="0"/>
          <w:bCs w:val="0"/>
          <w:color w:val="000000"/>
          <w:kern w:val="0"/>
          <w:sz w:val="32"/>
          <w:szCs w:val="32"/>
          <w:highlight w:val="none"/>
          <w:lang w:val="en-US" w:eastAsia="zh-CN"/>
        </w:rPr>
        <w:t>。</w:t>
      </w:r>
      <w:bookmarkEnd w:id="28"/>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全面落实医保待遇。截至目前，全区共保障参保职工和居民享受医保住院待遇7.78万人次，享受门诊慢特病待遇13.79万人次，药店购药114.22万人次。支出医保基金61692.87万元，其中，职工医保29779.01万元，居民医保31913.86万元。</w:t>
      </w:r>
      <w:bookmarkStart w:id="29" w:name="OLE_LINK22"/>
      <w:r>
        <w:rPr>
          <w:rFonts w:hint="eastAsia" w:ascii="仿宋_GB2312" w:hAnsi="仿宋_GB2312" w:eastAsia="仿宋_GB2312" w:cs="仿宋_GB2312"/>
          <w:b/>
          <w:bCs/>
          <w:color w:val="auto"/>
          <w:kern w:val="0"/>
          <w:sz w:val="32"/>
          <w:szCs w:val="32"/>
          <w:highlight w:val="none"/>
          <w:lang w:val="en-US" w:eastAsia="zh-CN" w:bidi="ar"/>
        </w:rPr>
        <w:t>三是</w:t>
      </w:r>
      <w:r>
        <w:rPr>
          <w:rFonts w:hint="eastAsia" w:ascii="仿宋_GB2312" w:hAnsi="仿宋_GB2312" w:eastAsia="仿宋_GB2312" w:cs="仿宋_GB2312"/>
          <w:b w:val="0"/>
          <w:bCs w:val="0"/>
          <w:color w:val="auto"/>
          <w:kern w:val="2"/>
          <w:sz w:val="32"/>
          <w:szCs w:val="32"/>
          <w:highlight w:val="none"/>
          <w:lang w:val="en-US" w:eastAsia="zh-CN" w:bidi="ar-SA"/>
        </w:rPr>
        <w:t>全面落实</w:t>
      </w:r>
      <w:r>
        <w:rPr>
          <w:rFonts w:hint="eastAsia" w:ascii="仿宋_GB2312" w:hAnsi="仿宋_GB2312" w:eastAsia="仿宋_GB2312" w:cs="仿宋_GB2312"/>
          <w:b w:val="0"/>
          <w:bCs w:val="0"/>
          <w:color w:val="auto"/>
          <w:sz w:val="32"/>
          <w:szCs w:val="32"/>
          <w:highlight w:val="none"/>
          <w:shd w:val="clear" w:color="auto" w:fill="auto"/>
          <w:lang w:val="en-US" w:eastAsia="zh-CN"/>
        </w:rPr>
        <w:t>乡村振兴过渡期医保政策</w:t>
      </w:r>
      <w:r>
        <w:rPr>
          <w:rFonts w:hint="eastAsia" w:ascii="仿宋_GB2312" w:hAnsi="仿宋_GB2312" w:eastAsia="仿宋_GB2312" w:cs="仿宋_GB2312"/>
          <w:b w:val="0"/>
          <w:bCs w:val="0"/>
          <w:color w:val="auto"/>
          <w:kern w:val="2"/>
          <w:sz w:val="32"/>
          <w:szCs w:val="32"/>
          <w:highlight w:val="none"/>
          <w:lang w:val="en-US" w:eastAsia="zh-CN" w:bidi="ar-SA"/>
        </w:rPr>
        <w:t>，实现农村低收入人口应保尽保、应享尽享。</w:t>
      </w:r>
      <w:bookmarkEnd w:id="29"/>
      <w:r>
        <w:rPr>
          <w:rFonts w:hint="eastAsia" w:ascii="仿宋_GB2312" w:hAnsi="仿宋_GB2312" w:eastAsia="仿宋_GB2312" w:cs="仿宋_GB2312"/>
          <w:b w:val="0"/>
          <w:bCs w:val="0"/>
          <w:color w:val="auto"/>
          <w:kern w:val="2"/>
          <w:sz w:val="32"/>
          <w:szCs w:val="32"/>
          <w:highlight w:val="none"/>
          <w:lang w:val="en-US" w:eastAsia="zh-CN" w:bidi="ar-SA"/>
        </w:rPr>
        <w:t>落实防范化解因病返贫致贫长效机制，</w:t>
      </w:r>
      <w:r>
        <w:rPr>
          <w:rFonts w:hint="eastAsia" w:ascii="仿宋_GB2312" w:hAnsi="仿宋_GB2312" w:eastAsia="仿宋_GB2312" w:cs="仿宋_GB2312"/>
          <w:b w:val="0"/>
          <w:bCs w:val="0"/>
          <w:sz w:val="32"/>
          <w:szCs w:val="32"/>
          <w:highlight w:val="none"/>
          <w:lang w:val="en-US" w:eastAsia="zh-CN"/>
        </w:rPr>
        <w:t>截至目前，</w:t>
      </w:r>
      <w:bookmarkStart w:id="30" w:name="OLE_LINK24"/>
      <w:r>
        <w:rPr>
          <w:rFonts w:hint="eastAsia" w:ascii="仿宋_GB2312" w:hAnsi="仿宋_GB2312" w:eastAsia="仿宋_GB2312" w:cs="仿宋_GB2312"/>
          <w:sz w:val="32"/>
          <w:szCs w:val="32"/>
          <w:highlight w:val="none"/>
          <w:lang w:val="en-US" w:eastAsia="zh-CN"/>
        </w:rPr>
        <w:t>已</w:t>
      </w:r>
      <w:r>
        <w:rPr>
          <w:rFonts w:hint="eastAsia" w:ascii="仿宋_GB2312" w:hAnsi="仿宋_GB2312" w:eastAsia="仿宋_GB2312" w:cs="仿宋_GB2312"/>
          <w:b w:val="0"/>
          <w:bCs w:val="0"/>
          <w:color w:val="auto"/>
          <w:kern w:val="2"/>
          <w:sz w:val="32"/>
          <w:szCs w:val="32"/>
          <w:highlight w:val="none"/>
          <w:lang w:val="en-US" w:eastAsia="zh-CN" w:bidi="ar-SA"/>
        </w:rPr>
        <w:t>向民政和乡村振兴部门</w:t>
      </w:r>
      <w:r>
        <w:rPr>
          <w:rFonts w:hint="eastAsia" w:ascii="仿宋_GB2312" w:hAnsi="仿宋_GB2312" w:eastAsia="仿宋_GB2312" w:cs="仿宋_GB2312"/>
          <w:b w:val="0"/>
          <w:bCs w:val="0"/>
          <w:sz w:val="32"/>
          <w:szCs w:val="32"/>
          <w:highlight w:val="none"/>
          <w:lang w:val="en-US" w:eastAsia="zh-CN"/>
        </w:rPr>
        <w:t>累计推送因病返贫预警</w:t>
      </w:r>
      <w:r>
        <w:rPr>
          <w:rFonts w:hint="eastAsia" w:ascii="仿宋_GB2312" w:hAnsi="仿宋_GB2312" w:eastAsia="仿宋_GB2312" w:cs="仿宋_GB2312"/>
          <w:b w:val="0"/>
          <w:bCs w:val="0"/>
          <w:color w:val="auto"/>
          <w:sz w:val="32"/>
          <w:szCs w:val="32"/>
          <w:highlight w:val="none"/>
          <w:lang w:val="en-US" w:eastAsia="zh-CN"/>
        </w:rPr>
        <w:t>239人、因病致贫预警1466</w:t>
      </w:r>
      <w:r>
        <w:rPr>
          <w:rFonts w:hint="eastAsia" w:ascii="仿宋_GB2312" w:hAnsi="仿宋_GB2312" w:eastAsia="仿宋_GB2312" w:cs="仿宋_GB2312"/>
          <w:b w:val="0"/>
          <w:bCs w:val="0"/>
          <w:sz w:val="32"/>
          <w:szCs w:val="32"/>
          <w:highlight w:val="none"/>
          <w:lang w:val="en-US" w:eastAsia="zh-CN"/>
        </w:rPr>
        <w:t>人，推送人员中经相关部门核准认定为困难群众身份的117人；</w:t>
      </w:r>
      <w:r>
        <w:rPr>
          <w:rFonts w:hint="eastAsia" w:ascii="仿宋_GB2312" w:hAnsi="仿宋_GB2312" w:eastAsia="仿宋_GB2312" w:cs="仿宋_GB2312"/>
          <w:sz w:val="32"/>
          <w:szCs w:val="32"/>
          <w:highlight w:val="none"/>
          <w:lang w:val="en-US" w:eastAsia="zh-CN"/>
        </w:rPr>
        <w:t>全区医疗救助资助参保2.34万人，资助金额650.79万元；医疗救助待遇支出1115.61万元，救助18356人次</w:t>
      </w:r>
      <w:r>
        <w:rPr>
          <w:rFonts w:hint="eastAsia" w:ascii="仿宋_GB2312" w:hAnsi="仿宋_GB2312" w:eastAsia="仿宋_GB2312" w:cs="仿宋_GB2312"/>
          <w:b w:val="0"/>
          <w:bCs w:val="0"/>
          <w:color w:val="auto"/>
          <w:kern w:val="0"/>
          <w:sz w:val="32"/>
          <w:szCs w:val="32"/>
          <w:highlight w:val="none"/>
          <w:lang w:val="en-US" w:eastAsia="zh-CN" w:bidi="ar"/>
        </w:rPr>
        <w:t>，政策覆盖率达100%。</w:t>
      </w:r>
      <w:bookmarkEnd w:id="30"/>
    </w:p>
    <w:p>
      <w:pPr>
        <w:keepNext w:val="0"/>
        <w:keepLines w:val="0"/>
        <w:widowControl w:val="0"/>
        <w:suppressLineNumbers w:val="0"/>
        <w:autoSpaceDE w:val="0"/>
        <w:autoSpaceDN/>
        <w:spacing w:before="160" w:beforeAutospacing="0" w:line="360" w:lineRule="auto"/>
        <w:ind w:left="0" w:firstLine="643" w:firstLineChars="200"/>
        <w:jc w:val="left"/>
        <w:rPr>
          <w:rFonts w:hint="eastAsia" w:ascii="楷体_GB2312" w:hAnsi="楷体_GB2312" w:eastAsia="楷体_GB2312" w:cs="楷体_GB2312"/>
          <w:b/>
          <w:bCs/>
          <w:kern w:val="2"/>
          <w:sz w:val="32"/>
          <w:szCs w:val="32"/>
          <w:highlight w:val="none"/>
          <w:lang w:val="en-US" w:eastAsia="zh-CN" w:bidi="ar-SA"/>
        </w:rPr>
      </w:pPr>
      <w:bookmarkStart w:id="31" w:name="OLE_LINK26"/>
      <w:r>
        <w:rPr>
          <w:rFonts w:hint="eastAsia" w:ascii="楷体_GB2312" w:hAnsi="楷体_GB2312" w:eastAsia="楷体_GB2312" w:cs="楷体_GB2312"/>
          <w:b/>
          <w:bCs/>
          <w:kern w:val="2"/>
          <w:sz w:val="32"/>
          <w:szCs w:val="32"/>
          <w:highlight w:val="none"/>
          <w:lang w:val="en-US" w:eastAsia="zh-CN" w:bidi="ar-SA"/>
        </w:rPr>
        <w:t>三、坚持统筹推进，落实职工门诊共济实施。</w:t>
      </w:r>
      <w:bookmarkEnd w:id="31"/>
    </w:p>
    <w:p>
      <w:pPr>
        <w:keepNext w:val="0"/>
        <w:keepLines w:val="0"/>
        <w:widowControl w:val="0"/>
        <w:suppressLineNumbers w:val="0"/>
        <w:autoSpaceDE w:val="0"/>
        <w:autoSpaceDN/>
        <w:spacing w:before="160" w:beforeAutospacing="0" w:line="360" w:lineRule="auto"/>
        <w:ind w:left="0" w:firstLine="643" w:firstLineChars="200"/>
        <w:jc w:val="left"/>
        <w:rPr>
          <w:rFonts w:hint="eastAsia" w:ascii="仿宋" w:hAnsi="仿宋" w:eastAsia="仿宋" w:cs="仿宋"/>
          <w:spacing w:val="9"/>
          <w:kern w:val="0"/>
          <w:sz w:val="32"/>
          <w:szCs w:val="32"/>
        </w:rPr>
      </w:pPr>
      <w:r>
        <w:rPr>
          <w:rFonts w:hint="eastAsia" w:ascii="楷体_GB2312" w:hAnsi="楷体_GB2312" w:eastAsia="楷体_GB2312" w:cs="楷体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广泛开展政策宣传。向定点机构、区直单位和各街乡发放宣传资料56万余份。开展政策巡回宣讲，组织区直单位、各街乡分管领导及工作人员、社区（村）干部、网评员、区直单位下沉党员、居民骨干力量、志愿者和两定机构等共培训</w:t>
      </w:r>
      <w:bookmarkStart w:id="32" w:name="OLE_LINK14"/>
      <w:r>
        <w:rPr>
          <w:rFonts w:hint="eastAsia" w:ascii="仿宋_GB2312" w:hAnsi="仿宋_GB2312" w:eastAsia="仿宋_GB2312" w:cs="仿宋_GB2312"/>
          <w:b w:val="0"/>
          <w:bCs w:val="0"/>
          <w:sz w:val="32"/>
          <w:szCs w:val="32"/>
          <w:highlight w:val="none"/>
          <w:lang w:val="en-US" w:eastAsia="zh-CN"/>
        </w:rPr>
        <w:t>46场，参训8600余人，实现区直部门及街乡全覆盖。</w:t>
      </w:r>
      <w:bookmarkEnd w:id="32"/>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督导落实优化配套措施</w:t>
      </w:r>
      <w:r>
        <w:rPr>
          <w:rFonts w:hint="eastAsia" w:ascii="楷体" w:hAnsi="楷体" w:eastAsia="楷体" w:cs="楷体"/>
          <w:b w:val="0"/>
          <w:bCs w:val="0"/>
          <w:kern w:val="2"/>
          <w:sz w:val="32"/>
          <w:szCs w:val="32"/>
          <w:lang w:val="en-US" w:eastAsia="zh-CN" w:bidi="ar-SA"/>
        </w:rPr>
        <w:t>。</w:t>
      </w:r>
      <w:bookmarkStart w:id="33" w:name="OLE_LINK32"/>
      <w:bookmarkStart w:id="34" w:name="OLE_LINK31"/>
      <w:r>
        <w:rPr>
          <w:rFonts w:hint="eastAsia" w:ascii="仿宋_GB2312" w:hAnsi="仿宋_GB2312" w:eastAsia="仿宋_GB2312" w:cs="仿宋_GB2312"/>
          <w:b w:val="0"/>
          <w:bCs w:val="0"/>
          <w:kern w:val="2"/>
          <w:sz w:val="32"/>
          <w:szCs w:val="32"/>
          <w:lang w:val="en-US" w:eastAsia="zh-CN" w:bidi="ar-SA"/>
        </w:rPr>
        <w:t>协同卫健、市场监管部门开展常态化督导，</w:t>
      </w:r>
      <w:bookmarkStart w:id="35" w:name="OLE_LINK29"/>
      <w:r>
        <w:rPr>
          <w:rFonts w:hint="eastAsia" w:ascii="仿宋_GB2312" w:hAnsi="仿宋_GB2312" w:eastAsia="仿宋_GB2312" w:cs="仿宋_GB2312"/>
          <w:b w:val="0"/>
          <w:bCs w:val="0"/>
          <w:kern w:val="2"/>
          <w:sz w:val="32"/>
          <w:szCs w:val="32"/>
          <w:lang w:val="en-US" w:eastAsia="zh-CN" w:bidi="ar-SA"/>
        </w:rPr>
        <w:t>指导全区28家门诊统筹定点医疗机构开展便民门诊服务，落实免收挂号费、诊疗费和长处方等便民措施；推进全区定点零售药店开通门诊统筹服务，落实线上处方等便民措施</w:t>
      </w:r>
      <w:bookmarkEnd w:id="33"/>
      <w:r>
        <w:rPr>
          <w:rFonts w:hint="eastAsia" w:ascii="仿宋_GB2312" w:hAnsi="仿宋_GB2312" w:eastAsia="仿宋_GB2312" w:cs="仿宋_GB2312"/>
          <w:b w:val="0"/>
          <w:bCs w:val="0"/>
          <w:kern w:val="2"/>
          <w:sz w:val="32"/>
          <w:szCs w:val="32"/>
          <w:lang w:val="en-US" w:eastAsia="zh-CN" w:bidi="ar-SA"/>
        </w:rPr>
        <w:t>。</w:t>
      </w:r>
      <w:bookmarkEnd w:id="34"/>
      <w:bookmarkEnd w:id="35"/>
      <w:r>
        <w:rPr>
          <w:rFonts w:hint="eastAsia" w:ascii="仿宋_GB2312" w:hAnsi="仿宋_GB2312" w:eastAsia="仿宋_GB2312" w:cs="仿宋_GB2312"/>
          <w:b/>
          <w:bCs/>
          <w:sz w:val="32"/>
          <w:szCs w:val="32"/>
          <w:lang w:val="en-US" w:eastAsia="zh-CN"/>
        </w:rPr>
        <w:t>三是</w:t>
      </w:r>
      <w:bookmarkStart w:id="36" w:name="OLE_LINK27"/>
      <w:r>
        <w:rPr>
          <w:rFonts w:hint="eastAsia" w:ascii="仿宋_GB2312" w:hAnsi="仿宋_GB2312" w:eastAsia="仿宋_GB2312" w:cs="仿宋_GB2312"/>
          <w:sz w:val="32"/>
          <w:szCs w:val="32"/>
          <w:lang w:val="en-US" w:eastAsia="zh-CN"/>
        </w:rPr>
        <w:t>做好退休人员个人账户划拨、优化措施差额返还等工作。</w:t>
      </w:r>
      <w:bookmarkEnd w:id="36"/>
      <w:r>
        <w:rPr>
          <w:rFonts w:hint="eastAsia" w:ascii="仿宋_GB2312" w:hAnsi="仿宋_GB2312" w:eastAsia="仿宋_GB2312" w:cs="仿宋_GB2312"/>
          <w:sz w:val="32"/>
          <w:szCs w:val="32"/>
          <w:lang w:val="en-US" w:eastAsia="zh-CN"/>
        </w:rPr>
        <w:t>及时组织局系统和街乡相关经办人员熟悉政策，统一解答口径，进一步做好政策解释和引导，</w:t>
      </w:r>
      <w:r>
        <w:rPr>
          <w:rFonts w:hint="eastAsia" w:ascii="仿宋_GB2312" w:hAnsi="仿宋_GB2312" w:eastAsia="仿宋_GB2312" w:cs="仿宋_GB2312"/>
          <w:color w:val="auto"/>
          <w:sz w:val="32"/>
          <w:szCs w:val="32"/>
          <w:lang w:val="en-US" w:eastAsia="zh-CN"/>
        </w:rPr>
        <w:t>确保平稳推进</w:t>
      </w:r>
      <w:r>
        <w:rPr>
          <w:rFonts w:hint="eastAsia" w:ascii="仿宋_GB2312" w:hAnsi="仿宋_GB2312" w:eastAsia="仿宋_GB2312" w:cs="仿宋_GB2312"/>
          <w:sz w:val="32"/>
          <w:szCs w:val="32"/>
          <w:lang w:val="en-US" w:eastAsia="zh-CN"/>
        </w:rPr>
        <w:t>退休人员个人账户划拨和</w:t>
      </w:r>
      <w:r>
        <w:rPr>
          <w:rFonts w:hint="eastAsia" w:ascii="仿宋_GB2312" w:hAnsi="仿宋_GB2312" w:eastAsia="仿宋_GB2312" w:cs="仿宋_GB2312"/>
          <w:color w:val="auto"/>
          <w:sz w:val="32"/>
          <w:szCs w:val="32"/>
          <w:lang w:val="en-US" w:eastAsia="zh-CN"/>
        </w:rPr>
        <w:t>优化措施差额返还等工作。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2"/>
          <w:sz w:val="32"/>
          <w:szCs w:val="32"/>
          <w:highlight w:val="none"/>
          <w:lang w:val="en-US" w:eastAsia="zh-CN" w:bidi="ar-SA"/>
        </w:rPr>
      </w:pPr>
      <w:bookmarkStart w:id="37" w:name="OLE_LINK34"/>
      <w:bookmarkStart w:id="38" w:name="OLE_LINK35"/>
      <w:r>
        <w:rPr>
          <w:rFonts w:hint="eastAsia" w:ascii="楷体_GB2312" w:hAnsi="楷体_GB2312" w:eastAsia="楷体_GB2312" w:cs="楷体_GB2312"/>
          <w:b/>
          <w:bCs/>
          <w:kern w:val="2"/>
          <w:sz w:val="32"/>
          <w:szCs w:val="32"/>
          <w:highlight w:val="none"/>
          <w:lang w:val="en-US" w:eastAsia="zh-CN" w:bidi="ar-SA"/>
        </w:rPr>
        <w:t>四、坚持提质增效，不断提高医保服务水平</w:t>
      </w:r>
      <w:bookmarkEnd w:id="37"/>
      <w:r>
        <w:rPr>
          <w:rFonts w:hint="eastAsia" w:ascii="楷体_GB2312" w:hAnsi="楷体_GB2312" w:eastAsia="楷体_GB2312" w:cs="楷体_GB2312"/>
          <w:b/>
          <w:bCs/>
          <w:kern w:val="2"/>
          <w:sz w:val="32"/>
          <w:szCs w:val="32"/>
          <w:highlight w:val="none"/>
          <w:lang w:val="en-US" w:eastAsia="zh-CN" w:bidi="ar-SA"/>
        </w:rPr>
        <w:t>。</w:t>
      </w:r>
      <w:bookmarkEnd w:id="3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color w:val="auto"/>
          <w:sz w:val="32"/>
          <w:szCs w:val="32"/>
          <w:highlight w:val="none"/>
          <w:shd w:val="clear" w:color="auto" w:fill="auto"/>
          <w:lang w:val="en-US" w:eastAsia="zh-CN"/>
        </w:rPr>
        <w:t>一是</w:t>
      </w:r>
      <w:bookmarkStart w:id="39" w:name="OLE_LINK37"/>
      <w:r>
        <w:rPr>
          <w:rFonts w:hint="eastAsia" w:ascii="仿宋_GB2312" w:hAnsi="仿宋_GB2312" w:eastAsia="仿宋_GB2312" w:cs="仿宋_GB2312"/>
          <w:b w:val="0"/>
          <w:bCs w:val="0"/>
          <w:color w:val="auto"/>
          <w:sz w:val="32"/>
          <w:szCs w:val="32"/>
          <w:highlight w:val="none"/>
          <w:shd w:val="clear" w:color="auto" w:fill="auto"/>
          <w:lang w:val="en-US" w:eastAsia="zh-CN"/>
        </w:rPr>
        <w:t>深入推进医保支付方式改革。</w:t>
      </w:r>
      <w:bookmarkEnd w:id="39"/>
      <w:r>
        <w:rPr>
          <w:rFonts w:hint="eastAsia" w:ascii="仿宋_GB2312" w:hAnsi="仿宋_GB2312" w:eastAsia="仿宋_GB2312" w:cs="仿宋_GB2312"/>
          <w:b w:val="0"/>
          <w:bCs w:val="0"/>
          <w:color w:val="auto"/>
          <w:sz w:val="32"/>
          <w:szCs w:val="32"/>
          <w:highlight w:val="none"/>
          <w:shd w:val="clear" w:color="auto" w:fill="auto"/>
          <w:lang w:val="en-US" w:eastAsia="zh-CN"/>
        </w:rPr>
        <w:t>按照《武汉市DRG支付方式改革三年行动实施方案》</w:t>
      </w:r>
      <w:r>
        <w:rPr>
          <w:rFonts w:hint="eastAsia" w:ascii="仿宋_GB2312" w:hAnsi="仿宋_GB2312" w:eastAsia="仿宋_GB2312" w:cs="仿宋_GB2312"/>
          <w:b w:val="0"/>
          <w:bCs w:val="0"/>
          <w:sz w:val="32"/>
          <w:szCs w:val="32"/>
          <w:highlight w:val="none"/>
          <w:lang w:val="en-US" w:eastAsia="zh-CN"/>
        </w:rPr>
        <w:t>，组织区内相关医疗机构开展DRG付费政策培训，做好工作指导，持续稳步推进</w:t>
      </w:r>
      <w:r>
        <w:rPr>
          <w:rFonts w:hint="eastAsia" w:ascii="仿宋_GB2312" w:hAnsi="仿宋_GB2312" w:eastAsia="仿宋_GB2312" w:cs="仿宋_GB2312"/>
          <w:b w:val="0"/>
          <w:bCs w:val="0"/>
          <w:color w:val="auto"/>
          <w:sz w:val="32"/>
          <w:szCs w:val="32"/>
          <w:highlight w:val="none"/>
          <w:shd w:val="clear" w:color="auto" w:fill="auto"/>
          <w:lang w:val="en-US" w:eastAsia="zh-CN"/>
        </w:rPr>
        <w:t>DRG付费落地</w:t>
      </w:r>
      <w:r>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w:t>
      </w:r>
      <w:r>
        <w:rPr>
          <w:rFonts w:hint="eastAsia" w:ascii="仿宋_GB2312" w:hAnsi="仿宋_GB2312" w:eastAsia="仿宋_GB2312" w:cs="仿宋_GB2312"/>
          <w:b/>
          <w:bCs/>
          <w:i w:val="0"/>
          <w:iCs w:val="0"/>
          <w:caps w:val="0"/>
          <w:color w:val="auto"/>
          <w:spacing w:val="0"/>
          <w:kern w:val="2"/>
          <w:sz w:val="32"/>
          <w:szCs w:val="32"/>
          <w:highlight w:val="none"/>
          <w:shd w:val="clear" w:fill="FFFFFF"/>
          <w:lang w:val="en-US" w:eastAsia="zh-CN" w:bidi="ar-SA"/>
        </w:rPr>
        <w:t>二是</w:t>
      </w:r>
      <w:bookmarkStart w:id="40" w:name="OLE_LINK36"/>
      <w:r>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提升医保经办人员服务水平。</w:t>
      </w:r>
      <w:bookmarkEnd w:id="40"/>
      <w:bookmarkStart w:id="41" w:name="OLE_LINK38"/>
      <w:r>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组织</w:t>
      </w:r>
      <w:r>
        <w:rPr>
          <w:rFonts w:hint="eastAsia" w:ascii="仿宋_GB2312" w:hAnsi="仿宋_GB2312" w:eastAsia="仿宋_GB2312" w:cs="仿宋_GB2312"/>
          <w:b w:val="0"/>
          <w:bCs w:val="0"/>
          <w:sz w:val="32"/>
          <w:szCs w:val="32"/>
          <w:highlight w:val="none"/>
          <w:lang w:val="en-US" w:eastAsia="zh-CN"/>
        </w:rPr>
        <w:t>开展全区经办培训会，安排医保业务骨干授课，组织各街乡、社区100余名医保经办工作人员，就灵活就业、居民医保参保登记、异地就医等经办事项进行培训，</w:t>
      </w:r>
      <w:bookmarkEnd w:id="41"/>
      <w:r>
        <w:rPr>
          <w:rFonts w:hint="eastAsia" w:ascii="仿宋_GB2312" w:hAnsi="仿宋_GB2312" w:eastAsia="仿宋_GB2312" w:cs="仿宋_GB2312"/>
          <w:b w:val="0"/>
          <w:bCs w:val="0"/>
          <w:sz w:val="32"/>
          <w:szCs w:val="32"/>
          <w:highlight w:val="none"/>
          <w:lang w:val="en-US" w:eastAsia="zh-CN"/>
        </w:rPr>
        <w:t>进一步优化全区医保经办服务。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楷体_GB2312" w:hAnsi="楷体_GB2312" w:eastAsia="楷体_GB2312" w:cs="楷体_GB2312"/>
          <w:b/>
          <w:bCs/>
          <w:kern w:val="2"/>
          <w:sz w:val="32"/>
          <w:szCs w:val="32"/>
          <w:highlight w:val="none"/>
          <w:lang w:val="en-US" w:eastAsia="zh-CN" w:bidi="ar-SA"/>
        </w:rPr>
      </w:pPr>
      <w:bookmarkStart w:id="42" w:name="OLE_LINK42"/>
      <w:r>
        <w:rPr>
          <w:rFonts w:hint="eastAsia" w:ascii="楷体_GB2312" w:hAnsi="楷体_GB2312" w:eastAsia="楷体_GB2312" w:cs="楷体_GB2312"/>
          <w:b/>
          <w:bCs/>
          <w:kern w:val="2"/>
          <w:sz w:val="32"/>
          <w:szCs w:val="32"/>
          <w:highlight w:val="none"/>
          <w:lang w:val="en-US" w:eastAsia="zh-CN" w:bidi="ar-SA"/>
        </w:rPr>
        <w:t>五、坚持价格改革，持续开展药品耗材集采。</w:t>
      </w:r>
      <w:bookmarkEnd w:id="4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落实医疗服务价格备案，截至目前受理区内各级定点医疗机构提交的医疗服务项目转正申请备案资料10项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二是</w:t>
      </w:r>
      <w:bookmarkStart w:id="43" w:name="OLE_LINK44"/>
      <w:r>
        <w:rPr>
          <w:rFonts w:hint="eastAsia" w:ascii="仿宋_GB2312" w:hAnsi="仿宋_GB2312" w:eastAsia="仿宋_GB2312" w:cs="仿宋_GB2312"/>
          <w:b w:val="0"/>
          <w:bCs w:val="0"/>
          <w:sz w:val="32"/>
          <w:szCs w:val="32"/>
          <w:highlight w:val="none"/>
          <w:lang w:val="en-US" w:eastAsia="zh-CN"/>
        </w:rPr>
        <w:t>坚持常态化制度化开展药品耗材集中带量采购工作</w:t>
      </w:r>
      <w:bookmarkEnd w:id="43"/>
      <w:r>
        <w:rPr>
          <w:rFonts w:hint="eastAsia" w:ascii="仿宋_GB2312" w:hAnsi="仿宋_GB2312" w:eastAsia="仿宋_GB2312" w:cs="仿宋_GB2312"/>
          <w:b w:val="0"/>
          <w:bCs w:val="0"/>
          <w:sz w:val="32"/>
          <w:szCs w:val="32"/>
          <w:highlight w:val="none"/>
          <w:lang w:val="en-US" w:eastAsia="zh-CN"/>
        </w:rPr>
        <w:t>，</w:t>
      </w:r>
      <w:bookmarkStart w:id="44" w:name="OLE_LINK46"/>
      <w:r>
        <w:rPr>
          <w:rFonts w:hint="eastAsia" w:ascii="仿宋_GB2312" w:hAnsi="仿宋_GB2312" w:eastAsia="仿宋_GB2312" w:cs="仿宋_GB2312"/>
          <w:b w:val="0"/>
          <w:bCs w:val="0"/>
          <w:sz w:val="32"/>
          <w:szCs w:val="32"/>
          <w:highlight w:val="none"/>
          <w:lang w:val="en-US" w:eastAsia="zh-CN"/>
        </w:rPr>
        <w:t>组织区内33家次医药机构参与国家、省、市集中采购。鼓励民营定点医疗机构和定点零售药店自愿进入平台采购，进一步促进药品耗材价格回归合理水平。</w:t>
      </w:r>
      <w:bookmarkEnd w:id="44"/>
      <w:r>
        <w:rPr>
          <w:rFonts w:hint="eastAsia" w:ascii="仿宋_GB2312" w:hAnsi="仿宋_GB2312" w:eastAsia="仿宋_GB2312" w:cs="仿宋_GB2312"/>
          <w:b/>
          <w:bCs/>
          <w:sz w:val="32"/>
          <w:szCs w:val="32"/>
          <w:highlight w:val="none"/>
          <w:lang w:val="en-US" w:eastAsia="zh-CN"/>
        </w:rPr>
        <w:t>三是</w:t>
      </w:r>
      <w:bookmarkStart w:id="45" w:name="OLE_LINK43"/>
      <w:r>
        <w:rPr>
          <w:rFonts w:hint="eastAsia" w:ascii="仿宋_GB2312" w:hAnsi="仿宋_GB2312" w:eastAsia="仿宋_GB2312" w:cs="仿宋_GB2312"/>
          <w:b w:val="0"/>
          <w:bCs w:val="0"/>
          <w:sz w:val="32"/>
          <w:szCs w:val="32"/>
          <w:highlight w:val="none"/>
          <w:lang w:val="en-US" w:eastAsia="zh-CN"/>
        </w:rPr>
        <w:t>加大集中带量采购药品耗材的督促执行力度</w:t>
      </w:r>
      <w:bookmarkEnd w:id="45"/>
      <w:r>
        <w:rPr>
          <w:rFonts w:hint="eastAsia" w:ascii="仿宋_GB2312" w:hAnsi="仿宋_GB2312" w:eastAsia="仿宋_GB2312" w:cs="仿宋_GB2312"/>
          <w:b w:val="0"/>
          <w:bCs w:val="0"/>
          <w:sz w:val="32"/>
          <w:szCs w:val="32"/>
          <w:highlight w:val="none"/>
          <w:lang w:val="en-US" w:eastAsia="zh-CN"/>
        </w:rPr>
        <w:t>，针对</w:t>
      </w:r>
      <w:r>
        <w:rPr>
          <w:rFonts w:hint="eastAsia" w:ascii="仿宋_GB2312" w:hAnsi="仿宋_GB2312" w:eastAsia="仿宋_GB2312" w:cs="仿宋_GB2312"/>
          <w:sz w:val="32"/>
          <w:szCs w:val="32"/>
          <w:highlight w:val="none"/>
          <w:lang w:val="en-US" w:eastAsia="zh-CN"/>
        </w:rPr>
        <w:t>未参加国家药品集中带量采购的9家公立医疗机构</w:t>
      </w:r>
      <w:r>
        <w:rPr>
          <w:rFonts w:hint="eastAsia" w:ascii="仿宋_GB2312" w:hAnsi="仿宋_GB2312" w:eastAsia="仿宋_GB2312" w:cs="仿宋_GB2312"/>
          <w:b w:val="0"/>
          <w:bCs w:val="0"/>
          <w:sz w:val="32"/>
          <w:szCs w:val="32"/>
          <w:highlight w:val="none"/>
          <w:lang w:val="en-US" w:eastAsia="zh-CN"/>
        </w:rPr>
        <w:t>，逐家</w:t>
      </w:r>
      <w:r>
        <w:rPr>
          <w:rFonts w:hint="eastAsia" w:ascii="仿宋_GB2312" w:hAnsi="仿宋_GB2312" w:eastAsia="仿宋_GB2312" w:cs="仿宋_GB2312"/>
          <w:sz w:val="32"/>
          <w:szCs w:val="32"/>
          <w:highlight w:val="none"/>
          <w:lang w:val="en-US" w:eastAsia="zh-CN"/>
        </w:rPr>
        <w:t>进行约谈，督促整改。</w:t>
      </w:r>
    </w:p>
    <w:p>
      <w:pPr>
        <w:keepNext w:val="0"/>
        <w:keepLines w:val="0"/>
        <w:widowControl w:val="0"/>
        <w:suppressLineNumbers w:val="0"/>
        <w:autoSpaceDE w:val="0"/>
        <w:autoSpaceDN/>
        <w:spacing w:before="160" w:beforeAutospacing="0" w:line="360" w:lineRule="auto"/>
        <w:ind w:left="0" w:firstLine="643" w:firstLineChars="200"/>
        <w:jc w:val="left"/>
        <w:rPr>
          <w:rFonts w:hint="eastAsia" w:ascii="楷体_GB2312" w:hAnsi="楷体_GB2312" w:eastAsia="楷体_GB2312" w:cs="楷体_GB2312"/>
          <w:b/>
          <w:bCs/>
          <w:kern w:val="2"/>
          <w:sz w:val="32"/>
          <w:szCs w:val="32"/>
          <w:highlight w:val="none"/>
          <w:lang w:val="en-US" w:eastAsia="zh-CN" w:bidi="ar-SA"/>
        </w:rPr>
      </w:pPr>
      <w:bookmarkStart w:id="46" w:name="OLE_LINK41"/>
      <w:r>
        <w:rPr>
          <w:rFonts w:hint="eastAsia" w:ascii="楷体_GB2312" w:hAnsi="楷体_GB2312" w:eastAsia="楷体_GB2312" w:cs="楷体_GB2312"/>
          <w:b/>
          <w:bCs/>
          <w:kern w:val="2"/>
          <w:sz w:val="32"/>
          <w:szCs w:val="32"/>
          <w:highlight w:val="none"/>
          <w:lang w:val="en-US" w:eastAsia="zh-CN" w:bidi="ar-SA"/>
        </w:rPr>
        <w:t>六、坚持高压震慑，深入开展打击欺诈骗保。</w:t>
      </w:r>
      <w:bookmarkEnd w:id="46"/>
    </w:p>
    <w:p>
      <w:pPr>
        <w:keepNext w:val="0"/>
        <w:keepLines w:val="0"/>
        <w:widowControl w:val="0"/>
        <w:suppressLineNumbers w:val="0"/>
        <w:autoSpaceDE w:val="0"/>
        <w:autoSpaceDN/>
        <w:spacing w:before="160" w:beforeAutospacing="0" w:line="360" w:lineRule="auto"/>
        <w:ind w:left="0" w:firstLine="643" w:firstLineChars="200"/>
        <w:jc w:val="left"/>
        <w:rPr>
          <w:rFonts w:hint="eastAsia" w:ascii="仿宋" w:hAnsi="仿宋" w:eastAsia="仿宋" w:cs="仿宋"/>
          <w:spacing w:val="9"/>
          <w:kern w:val="0"/>
          <w:sz w:val="32"/>
          <w:szCs w:val="32"/>
        </w:rPr>
      </w:pPr>
      <w:r>
        <w:rPr>
          <w:rFonts w:hint="eastAsia" w:ascii="仿宋_GB2312" w:hAnsi="仿宋_GB2312" w:eastAsia="仿宋_GB2312" w:cs="仿宋_GB2312"/>
          <w:b/>
          <w:bCs/>
          <w:color w:val="000000"/>
          <w:kern w:val="2"/>
          <w:sz w:val="32"/>
          <w:szCs w:val="32"/>
          <w:highlight w:val="none"/>
          <w:lang w:val="en-US" w:eastAsia="zh-CN" w:bidi="ar-SA"/>
        </w:rPr>
        <w:t>一是</w:t>
      </w:r>
      <w:r>
        <w:rPr>
          <w:rFonts w:hint="eastAsia" w:ascii="仿宋_GB2312" w:hAnsi="仿宋_GB2312" w:eastAsia="仿宋_GB2312" w:cs="仿宋_GB2312"/>
          <w:b w:val="0"/>
          <w:bCs w:val="0"/>
          <w:color w:val="000000"/>
          <w:kern w:val="2"/>
          <w:sz w:val="32"/>
          <w:szCs w:val="32"/>
          <w:highlight w:val="none"/>
          <w:lang w:val="en-US" w:eastAsia="zh-CN" w:bidi="ar-SA"/>
        </w:rPr>
        <w:t>高位部署专项整治。联合多个部门，召开2023年打击欺诈骗取医保基金联席会议暨专项整治工作部署会，印发实施方案，开展专题培训。深入各医药机构开展自查督导，强力推进专项整治工作开展。</w:t>
      </w:r>
      <w:r>
        <w:rPr>
          <w:rFonts w:hint="eastAsia" w:ascii="仿宋_GB2312" w:hAnsi="仿宋_GB2312" w:eastAsia="仿宋_GB2312" w:cs="仿宋_GB2312"/>
          <w:b/>
          <w:bCs/>
          <w:color w:val="000000"/>
          <w:kern w:val="2"/>
          <w:sz w:val="32"/>
          <w:szCs w:val="32"/>
          <w:highlight w:val="none"/>
          <w:lang w:val="en-US" w:eastAsia="zh-CN" w:bidi="ar-SA"/>
        </w:rPr>
        <w:t>二是</w:t>
      </w:r>
      <w:r>
        <w:rPr>
          <w:rFonts w:hint="eastAsia" w:ascii="仿宋_GB2312" w:hAnsi="仿宋_GB2312" w:eastAsia="仿宋_GB2312" w:cs="仿宋_GB2312"/>
          <w:b w:val="0"/>
          <w:bCs w:val="0"/>
          <w:kern w:val="2"/>
          <w:sz w:val="32"/>
          <w:szCs w:val="32"/>
          <w:highlight w:val="none"/>
          <w:lang w:val="en-US" w:eastAsia="zh-CN" w:bidi="ar-SA"/>
        </w:rPr>
        <w:t>扎实开展政策宣传。</w:t>
      </w:r>
      <w:r>
        <w:rPr>
          <w:rFonts w:hint="eastAsia" w:ascii="仿宋_GB2312" w:hAnsi="仿宋_GB2312" w:eastAsia="仿宋_GB2312" w:cs="仿宋_GB2312"/>
          <w:b w:val="0"/>
          <w:bCs w:val="0"/>
          <w:color w:val="000000"/>
          <w:kern w:val="2"/>
          <w:sz w:val="32"/>
          <w:szCs w:val="32"/>
          <w:highlight w:val="none"/>
          <w:lang w:val="en-US" w:eastAsia="zh-CN" w:bidi="ar-SA"/>
        </w:rPr>
        <w:t>开展</w:t>
      </w:r>
      <w:r>
        <w:rPr>
          <w:rFonts w:hint="eastAsia" w:ascii="仿宋_GB2312" w:hAnsi="仿宋_GB2312" w:eastAsia="仿宋_GB2312" w:cs="仿宋_GB2312"/>
          <w:b w:val="0"/>
          <w:bCs w:val="0"/>
          <w:kern w:val="2"/>
          <w:sz w:val="32"/>
          <w:szCs w:val="32"/>
          <w:highlight w:val="none"/>
          <w:lang w:val="en-US" w:eastAsia="zh-CN" w:bidi="ar-SA"/>
        </w:rPr>
        <w:t>“安全规范用基金 守好人民‘看病钱’”宣</w:t>
      </w:r>
      <w:r>
        <w:rPr>
          <w:rFonts w:hint="eastAsia" w:ascii="仿宋_GB2312" w:hAnsi="仿宋_GB2312" w:eastAsia="仿宋_GB2312" w:cs="仿宋_GB2312"/>
          <w:b w:val="0"/>
          <w:bCs w:val="0"/>
          <w:color w:val="000000"/>
          <w:kern w:val="2"/>
          <w:sz w:val="32"/>
          <w:szCs w:val="32"/>
          <w:highlight w:val="none"/>
          <w:lang w:val="en-US" w:eastAsia="zh-CN" w:bidi="ar-SA"/>
        </w:rPr>
        <w:t>传月专题活动，实施医保基</w:t>
      </w:r>
      <w:r>
        <w:rPr>
          <w:rFonts w:hint="eastAsia" w:ascii="仿宋_GB2312" w:hAnsi="仿宋_GB2312" w:eastAsia="仿宋_GB2312" w:cs="仿宋_GB2312"/>
          <w:b w:val="0"/>
          <w:bCs w:val="0"/>
          <w:color w:val="auto"/>
          <w:kern w:val="2"/>
          <w:sz w:val="32"/>
          <w:szCs w:val="32"/>
          <w:highlight w:val="none"/>
          <w:lang w:val="en-US" w:eastAsia="zh-CN" w:bidi="ar-SA"/>
        </w:rPr>
        <w:t>金监管宣传进街道、进社区（村）、进经办机构、进医药机构等</w:t>
      </w:r>
      <w:r>
        <w:rPr>
          <w:rFonts w:hint="eastAsia" w:ascii="仿宋_GB2312" w:hAnsi="仿宋_GB2312" w:eastAsia="仿宋_GB2312" w:cs="仿宋_GB2312"/>
          <w:b w:val="0"/>
          <w:bCs w:val="0"/>
          <w:color w:val="000000"/>
          <w:kern w:val="2"/>
          <w:sz w:val="32"/>
          <w:szCs w:val="32"/>
          <w:highlight w:val="none"/>
          <w:lang w:val="en-US" w:eastAsia="zh-CN" w:bidi="ar-SA"/>
        </w:rPr>
        <w:t>“九进”行动，营造基金监管良好氛围。</w:t>
      </w:r>
      <w:r>
        <w:rPr>
          <w:rFonts w:hint="eastAsia" w:ascii="仿宋_GB2312" w:hAnsi="仿宋_GB2312" w:eastAsia="仿宋_GB2312" w:cs="仿宋_GB2312"/>
          <w:b/>
          <w:bCs/>
          <w:color w:val="000000"/>
          <w:kern w:val="2"/>
          <w:sz w:val="32"/>
          <w:szCs w:val="32"/>
          <w:highlight w:val="none"/>
          <w:lang w:val="en-US" w:eastAsia="zh-CN" w:bidi="ar-SA"/>
        </w:rPr>
        <w:t>三是</w:t>
      </w:r>
      <w:bookmarkStart w:id="47" w:name="OLE_LINK48"/>
      <w:r>
        <w:rPr>
          <w:rFonts w:hint="eastAsia" w:ascii="仿宋_GB2312" w:hAnsi="仿宋_GB2312" w:eastAsia="仿宋_GB2312" w:cs="仿宋_GB2312"/>
          <w:b w:val="0"/>
          <w:bCs w:val="0"/>
          <w:color w:val="000000"/>
          <w:kern w:val="2"/>
          <w:sz w:val="32"/>
          <w:szCs w:val="32"/>
          <w:highlight w:val="none"/>
          <w:lang w:val="en-US" w:eastAsia="zh-CN" w:bidi="ar-SA"/>
        </w:rPr>
        <w:t>一体推进各项专项整治。</w:t>
      </w:r>
      <w:bookmarkEnd w:id="47"/>
      <w:bookmarkStart w:id="48" w:name="OLE_LINK49"/>
      <w:r>
        <w:rPr>
          <w:rFonts w:hint="eastAsia" w:ascii="仿宋_GB2312" w:hAnsi="仿宋_GB2312" w:eastAsia="仿宋_GB2312" w:cs="仿宋_GB2312"/>
          <w:b w:val="0"/>
          <w:bCs w:val="0"/>
          <w:color w:val="000000"/>
          <w:kern w:val="2"/>
          <w:sz w:val="32"/>
          <w:szCs w:val="32"/>
          <w:highlight w:val="none"/>
          <w:lang w:val="en-US" w:eastAsia="zh-CN" w:bidi="ar-SA"/>
        </w:rPr>
        <w:t>一体推进医疗保障凭证套刷生活日用品、不合理检查及用药突出问题、打击欺诈骗保专项整治、</w:t>
      </w:r>
      <w:r>
        <w:rPr>
          <w:rFonts w:hint="eastAsia" w:ascii="仿宋_GB2312" w:hAnsi="仿宋_GB2312" w:eastAsia="仿宋_GB2312" w:cs="仿宋_GB2312"/>
          <w:b w:val="0"/>
          <w:bCs w:val="0"/>
          <w:sz w:val="32"/>
          <w:szCs w:val="32"/>
          <w:highlight w:val="none"/>
          <w:lang w:val="en-US" w:eastAsia="zh-CN"/>
        </w:rPr>
        <w:t>省级整改等相关问题“回头看”“</w:t>
      </w:r>
      <w:r>
        <w:rPr>
          <w:rFonts w:hint="eastAsia" w:ascii="仿宋_GB2312" w:hAnsi="仿宋_GB2312" w:eastAsia="仿宋_GB2312" w:cs="仿宋_GB2312"/>
          <w:b w:val="0"/>
          <w:bCs w:val="0"/>
          <w:color w:val="000000"/>
          <w:kern w:val="2"/>
          <w:sz w:val="32"/>
          <w:szCs w:val="32"/>
          <w:highlight w:val="none"/>
          <w:lang w:val="en-US" w:eastAsia="zh-CN" w:bidi="ar-SA"/>
        </w:rPr>
        <w:t>三医联动”</w:t>
      </w:r>
      <w:r>
        <w:rPr>
          <w:rFonts w:hint="eastAsia" w:ascii="仿宋_GB2312" w:hAnsi="仿宋_GB2312" w:eastAsia="仿宋_GB2312" w:cs="仿宋_GB2312"/>
          <w:b w:val="0"/>
          <w:bCs w:val="0"/>
          <w:kern w:val="2"/>
          <w:sz w:val="32"/>
          <w:szCs w:val="32"/>
          <w:highlight w:val="none"/>
          <w:lang w:val="en-US" w:eastAsia="zh-CN" w:bidi="ar-SA"/>
        </w:rPr>
        <w:t>审计反馈问题</w:t>
      </w:r>
      <w:r>
        <w:rPr>
          <w:rFonts w:hint="eastAsia" w:ascii="仿宋_GB2312" w:hAnsi="仿宋_GB2312" w:eastAsia="仿宋_GB2312" w:cs="仿宋_GB2312"/>
          <w:b w:val="0"/>
          <w:bCs w:val="0"/>
          <w:color w:val="000000"/>
          <w:kern w:val="2"/>
          <w:sz w:val="32"/>
          <w:szCs w:val="32"/>
          <w:highlight w:val="none"/>
          <w:lang w:val="en-US" w:eastAsia="zh-CN" w:bidi="ar-SA"/>
        </w:rPr>
        <w:t>等工作</w:t>
      </w:r>
      <w:r>
        <w:rPr>
          <w:rFonts w:hint="eastAsia" w:ascii="仿宋_GB2312" w:hAnsi="仿宋_GB2312" w:eastAsia="仿宋_GB2312" w:cs="仿宋_GB2312"/>
          <w:b w:val="0"/>
          <w:bCs w:val="0"/>
          <w:kern w:val="2"/>
          <w:sz w:val="32"/>
          <w:szCs w:val="32"/>
          <w:highlight w:val="none"/>
          <w:lang w:val="en-US" w:eastAsia="zh-CN" w:bidi="ar-SA"/>
        </w:rPr>
        <w:t>。截至目前，累计追回医保基金255.13万元。</w:t>
      </w:r>
      <w:bookmarkEnd w:id="48"/>
      <w:r>
        <w:rPr>
          <w:rFonts w:hint="eastAsia" w:ascii="仿宋_GB2312" w:hAnsi="仿宋_GB2312" w:eastAsia="仿宋_GB2312" w:cs="仿宋_GB2312"/>
          <w:b/>
          <w:bCs/>
          <w:color w:val="000000"/>
          <w:kern w:val="2"/>
          <w:sz w:val="32"/>
          <w:szCs w:val="32"/>
          <w:highlight w:val="none"/>
          <w:lang w:val="en-US" w:eastAsia="zh-CN" w:bidi="ar-SA"/>
        </w:rPr>
        <w:t>四是</w:t>
      </w:r>
      <w:r>
        <w:rPr>
          <w:rFonts w:hint="eastAsia" w:ascii="仿宋_GB2312" w:hAnsi="仿宋_GB2312" w:eastAsia="仿宋_GB2312" w:cs="仿宋_GB2312"/>
          <w:b w:val="0"/>
          <w:bCs w:val="0"/>
          <w:color w:val="000000"/>
          <w:kern w:val="2"/>
          <w:sz w:val="32"/>
          <w:szCs w:val="32"/>
          <w:highlight w:val="none"/>
          <w:lang w:val="en-US" w:eastAsia="zh-CN" w:bidi="ar-SA"/>
        </w:rPr>
        <w:t>加强监管能力建设，组织工作人员参加省、市、区级基金监管业务培训，不断提高依法监管业务能力；聘请第三方机构参与基金监管工作，优化提升监管效能；</w:t>
      </w:r>
      <w:r>
        <w:rPr>
          <w:rFonts w:hint="eastAsia" w:ascii="仿宋_GB2312" w:hAnsi="仿宋_GB2312" w:eastAsia="仿宋_GB2312" w:cs="仿宋_GB2312"/>
          <w:b w:val="0"/>
          <w:bCs w:val="0"/>
          <w:kern w:val="2"/>
          <w:sz w:val="32"/>
          <w:szCs w:val="32"/>
          <w:highlight w:val="none"/>
          <w:lang w:val="en-US" w:eastAsia="zh-CN" w:bidi="ar-SA"/>
        </w:rPr>
        <w:t>聘请30名基层和专业人士担任医保社会监督员，发动社会各界参与基金监管。</w:t>
      </w:r>
    </w:p>
    <w:p>
      <w:pPr>
        <w:pStyle w:val="8"/>
        <w:ind w:leftChars="200"/>
        <w:rPr>
          <w:rFonts w:hint="eastAsia" w:ascii="Calibri" w:hAnsi="Calibri" w:eastAsia="仿宋_GB2312" w:cs="宋体"/>
          <w:kern w:val="0"/>
          <w:sz w:val="24"/>
          <w:szCs w:val="24"/>
        </w:rPr>
      </w:pPr>
      <w:r>
        <w:rPr>
          <w:rFonts w:hint="eastAsia" w:ascii="Calibri" w:hAnsi="Calibri" w:eastAsia="仿宋_GB2312" w:cs="宋体"/>
          <w:kern w:val="0"/>
          <w:sz w:val="24"/>
          <w:szCs w:val="24"/>
        </w:rPr>
        <w:t xml:space="preserve"> </w:t>
      </w:r>
    </w:p>
    <w:p>
      <w:pPr>
        <w:pStyle w:val="8"/>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8"/>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8"/>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8"/>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8"/>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8"/>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8"/>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8"/>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8"/>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8"/>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rPr>
          <w:rFonts w:hint="eastAsia" w:ascii="黑体" w:hAnsi="宋体" w:eastAsia="黑体" w:cs="黑体"/>
          <w:kern w:val="0"/>
          <w:sz w:val="32"/>
          <w:szCs w:val="32"/>
        </w:rPr>
      </w:pPr>
    </w:p>
    <w:p>
      <w:pPr>
        <w:rPr>
          <w:rFonts w:hint="eastAsia" w:ascii="黑体" w:hAnsi="宋体" w:eastAsia="黑体" w:cs="黑体"/>
          <w:kern w:val="0"/>
          <w:sz w:val="32"/>
          <w:szCs w:val="32"/>
        </w:rPr>
      </w:pPr>
    </w:p>
    <w:p>
      <w:pPr>
        <w:rPr>
          <w:rFonts w:hint="eastAsia" w:ascii="黑体" w:hAnsi="宋体" w:eastAsia="黑体" w:cs="黑体"/>
          <w:kern w:val="0"/>
          <w:sz w:val="32"/>
          <w:szCs w:val="32"/>
        </w:rPr>
      </w:pPr>
    </w:p>
    <w:p>
      <w:pPr>
        <w:rPr>
          <w:rFonts w:hint="eastAsia" w:ascii="黑体" w:hAnsi="宋体" w:eastAsia="黑体" w:cs="黑体"/>
          <w:kern w:val="0"/>
          <w:sz w:val="32"/>
          <w:szCs w:val="32"/>
        </w:rPr>
      </w:pPr>
    </w:p>
    <w:p>
      <w:pPr>
        <w:pStyle w:val="8"/>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主要工作重要事项</w:t>
      </w:r>
    </w:p>
    <w:p>
      <w:pP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1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4"/>
        <w:gridCol w:w="1130"/>
        <w:gridCol w:w="4158"/>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2" w:hRule="atLeast"/>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66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重要事项</w:t>
            </w:r>
          </w:p>
        </w:tc>
        <w:tc>
          <w:tcPr>
            <w:tcW w:w="243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工作内容及目标</w:t>
            </w:r>
          </w:p>
        </w:tc>
        <w:tc>
          <w:tcPr>
            <w:tcW w:w="153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rPr>
            </w:pPr>
            <w:bookmarkStart w:id="49" w:name="OLE_LINK30" w:colFirst="2" w:colLast="2"/>
            <w:r>
              <w:rPr>
                <w:rFonts w:hint="eastAsia" w:ascii="宋体" w:hAnsi="宋体" w:eastAsia="宋体" w:cs="宋体"/>
                <w:kern w:val="0"/>
                <w:sz w:val="21"/>
                <w:szCs w:val="21"/>
              </w:rPr>
              <w:t>1</w:t>
            </w:r>
          </w:p>
        </w:tc>
        <w:tc>
          <w:tcPr>
            <w:tcW w:w="66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rPr>
            </w:pPr>
            <w:bookmarkStart w:id="50" w:name="OLE_LINK21"/>
            <w:r>
              <w:rPr>
                <w:rFonts w:hint="eastAsia" w:ascii="宋体" w:hAnsi="宋体" w:eastAsia="宋体" w:cs="宋体"/>
                <w:kern w:val="0"/>
                <w:sz w:val="21"/>
                <w:szCs w:val="21"/>
              </w:rPr>
              <w:t>持续做好新冠肺炎疫情防控医保工</w:t>
            </w:r>
            <w:bookmarkEnd w:id="50"/>
            <w:r>
              <w:rPr>
                <w:rFonts w:hint="eastAsia" w:ascii="宋体" w:hAnsi="宋体" w:eastAsia="宋体" w:cs="宋体"/>
                <w:kern w:val="0"/>
                <w:sz w:val="21"/>
                <w:szCs w:val="21"/>
              </w:rPr>
              <w:t>作</w:t>
            </w:r>
          </w:p>
        </w:tc>
        <w:tc>
          <w:tcPr>
            <w:tcW w:w="243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一是优化全区医保营商环境。</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二是立足医保职能，服务重大项目建设。</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三是助力全区创新驱动。</w:t>
            </w:r>
          </w:p>
        </w:tc>
        <w:tc>
          <w:tcPr>
            <w:tcW w:w="153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推动区医保中心整体入驻区市</w:t>
            </w:r>
            <w:bookmarkStart w:id="51" w:name="OLE_LINK25"/>
            <w:r>
              <w:rPr>
                <w:rFonts w:hint="eastAsia" w:ascii="宋体" w:hAnsi="宋体" w:eastAsia="宋体" w:cs="宋体"/>
                <w:kern w:val="0"/>
                <w:sz w:val="21"/>
                <w:szCs w:val="21"/>
              </w:rPr>
              <w:t>民之家，实现医保经办事项“只进一扇门”。</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定期对接区发改、经信等部门，对落户我区的重大项目、重大企业，跟进服务企业参保登记、落实医保待遇。</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对全区2万余名</w:t>
            </w:r>
            <w:bookmarkEnd w:id="51"/>
            <w:r>
              <w:rPr>
                <w:rFonts w:hint="eastAsia" w:ascii="宋体" w:hAnsi="宋体" w:eastAsia="宋体" w:cs="宋体"/>
                <w:kern w:val="0"/>
                <w:sz w:val="21"/>
                <w:szCs w:val="21"/>
              </w:rPr>
              <w:t>国有困难企业和城镇集体困难企业退休职工开展清理，进一步规范后续参保缴费管理。</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6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坚持保障优先，确保医保制度平稳运行。</w:t>
            </w:r>
          </w:p>
        </w:tc>
        <w:tc>
          <w:tcPr>
            <w:tcW w:w="243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一是全面做好基本医保参保工作。</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二</w:t>
            </w:r>
            <w:bookmarkStart w:id="52" w:name="OLE_LINK28"/>
            <w:r>
              <w:rPr>
                <w:rFonts w:hint="eastAsia" w:ascii="宋体" w:hAnsi="宋体" w:eastAsia="宋体" w:cs="宋体"/>
                <w:kern w:val="0"/>
                <w:sz w:val="21"/>
                <w:szCs w:val="21"/>
                <w:lang w:val="en-US" w:eastAsia="zh-CN"/>
              </w:rPr>
              <w:t>是全面落实医保待遇。</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三是全面落实乡村振兴过渡期医保政策，实现农村低收入人口应保尽保、应享尽享。</w:t>
            </w:r>
          </w:p>
          <w:bookmarkEnd w:id="52"/>
          <w:p>
            <w:pPr>
              <w:pStyle w:val="19"/>
              <w:keepNext w:val="0"/>
              <w:keepLines w:val="0"/>
              <w:widowControl w:val="0"/>
              <w:suppressLineNumbers w:val="0"/>
              <w:autoSpaceDE w:val="0"/>
              <w:autoSpaceDN/>
              <w:ind w:left="0" w:right="-6" w:firstLine="0" w:firstLineChars="0"/>
              <w:jc w:val="center"/>
              <w:rPr>
                <w:rFonts w:hint="eastAsia" w:ascii="宋体" w:hAnsi="宋体" w:eastAsia="宋体" w:cs="宋体"/>
                <w:spacing w:val="-18"/>
                <w:kern w:val="0"/>
                <w:sz w:val="21"/>
                <w:szCs w:val="21"/>
              </w:rPr>
            </w:pPr>
          </w:p>
        </w:tc>
        <w:tc>
          <w:tcPr>
            <w:tcW w:w="153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我区基本医保参保人数达到43.67万人，其中，居民医保309801人，职工参保126874人。</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已向民政和乡村振兴部门累计推送因病返贫预警239</w:t>
            </w:r>
            <w:bookmarkStart w:id="53" w:name="OLE_LINK33"/>
            <w:r>
              <w:rPr>
                <w:rFonts w:hint="eastAsia" w:ascii="宋体" w:hAnsi="宋体" w:eastAsia="宋体" w:cs="宋体"/>
                <w:kern w:val="0"/>
                <w:sz w:val="21"/>
                <w:szCs w:val="21"/>
                <w:lang w:val="en-US" w:eastAsia="zh-CN"/>
              </w:rPr>
              <w:t>人、因病致贫预警1466人，推送人员中经相关部门核准认定为困难群众身份的117</w:t>
            </w:r>
            <w:bookmarkEnd w:id="53"/>
            <w:r>
              <w:rPr>
                <w:rFonts w:hint="eastAsia" w:ascii="宋体" w:hAnsi="宋体" w:eastAsia="宋体" w:cs="宋体"/>
                <w:kern w:val="0"/>
                <w:sz w:val="21"/>
                <w:szCs w:val="21"/>
                <w:lang w:val="en-US" w:eastAsia="zh-CN"/>
              </w:rPr>
              <w:t>人；全区医疗救助资助参保2.34万人，资助金额650.79万元；医疗救助待遇支出1115.61万元，救助18356人次，政策覆盖率达100%。</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rPr>
            </w:pPr>
          </w:p>
        </w:tc>
      </w:tr>
      <w:bookmark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r>
              <w:rPr>
                <w:rFonts w:hint="eastAsia" w:ascii="宋体" w:hAnsi="宋体" w:eastAsia="宋体" w:cs="宋体"/>
                <w:kern w:val="44"/>
                <w:sz w:val="21"/>
                <w:szCs w:val="21"/>
              </w:rPr>
              <w:t>3</w:t>
            </w:r>
          </w:p>
        </w:tc>
        <w:tc>
          <w:tcPr>
            <w:tcW w:w="66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r>
              <w:rPr>
                <w:rFonts w:hint="eastAsia" w:ascii="宋体" w:hAnsi="宋体" w:eastAsia="宋体" w:cs="宋体"/>
                <w:kern w:val="0"/>
                <w:sz w:val="21"/>
                <w:szCs w:val="21"/>
                <w:lang w:val="en-US" w:eastAsia="zh-CN"/>
              </w:rPr>
              <w:t>坚持统筹推进，落实职工门诊共济实施。</w:t>
            </w:r>
          </w:p>
        </w:tc>
        <w:tc>
          <w:tcPr>
            <w:tcW w:w="243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广泛开展政策宣传。</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督导落实优化配套措施。</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做好退休人员个人账户划拨、优化措施差额返还等工作。</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p>
        </w:tc>
        <w:tc>
          <w:tcPr>
            <w:tcW w:w="153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r>
              <w:rPr>
                <w:rFonts w:hint="eastAsia" w:ascii="宋体" w:hAnsi="宋体" w:eastAsia="宋体" w:cs="宋体"/>
                <w:kern w:val="0"/>
                <w:sz w:val="21"/>
                <w:szCs w:val="21"/>
                <w:lang w:val="en-US" w:eastAsia="zh-CN"/>
              </w:rPr>
              <w:t>协同卫健、市场监管部门开展常态化督导，指导全区28</w:t>
            </w:r>
            <w:bookmarkStart w:id="54" w:name="OLE_LINK39"/>
            <w:r>
              <w:rPr>
                <w:rFonts w:hint="eastAsia" w:ascii="宋体" w:hAnsi="宋体" w:eastAsia="宋体" w:cs="宋体"/>
                <w:kern w:val="0"/>
                <w:sz w:val="21"/>
                <w:szCs w:val="21"/>
                <w:lang w:val="en-US" w:eastAsia="zh-CN"/>
              </w:rPr>
              <w:t>家门诊统筹定点医疗机构开展便民门诊服务，落实免收</w:t>
            </w:r>
            <w:bookmarkEnd w:id="54"/>
            <w:r>
              <w:rPr>
                <w:rFonts w:hint="eastAsia" w:ascii="宋体" w:hAnsi="宋体" w:eastAsia="宋体" w:cs="宋体"/>
                <w:kern w:val="0"/>
                <w:sz w:val="21"/>
                <w:szCs w:val="21"/>
                <w:lang w:val="en-US" w:eastAsia="zh-CN"/>
              </w:rPr>
              <w:t>挂号费、诊疗费和长处方等便民措施；推进全区定点零售药店开通门诊统筹服务，落实线上处方等便民措施</w:t>
            </w:r>
            <w:r>
              <w:rPr>
                <w:rFonts w:hint="eastAsia"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bookmarkStart w:id="55" w:name="OLE_LINK40" w:colFirst="0" w:colLast="3"/>
            <w:r>
              <w:rPr>
                <w:rFonts w:hint="eastAsia" w:ascii="宋体" w:hAnsi="宋体" w:eastAsia="宋体" w:cs="宋体"/>
                <w:kern w:val="44"/>
                <w:sz w:val="21"/>
                <w:szCs w:val="21"/>
              </w:rPr>
              <w:t>4</w:t>
            </w:r>
          </w:p>
        </w:tc>
        <w:tc>
          <w:tcPr>
            <w:tcW w:w="66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r>
              <w:rPr>
                <w:rFonts w:hint="eastAsia" w:ascii="宋体" w:hAnsi="宋体" w:eastAsia="宋体" w:cs="宋体"/>
                <w:kern w:val="44"/>
                <w:sz w:val="21"/>
                <w:szCs w:val="21"/>
                <w:lang w:val="en-US" w:eastAsia="zh-CN"/>
              </w:rPr>
              <w:t>坚持提质增效，不断提高医保服务水平。</w:t>
            </w:r>
          </w:p>
        </w:tc>
        <w:tc>
          <w:tcPr>
            <w:tcW w:w="243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r>
              <w:rPr>
                <w:rFonts w:hint="eastAsia" w:ascii="宋体" w:hAnsi="宋体" w:eastAsia="宋体" w:cs="宋体"/>
                <w:kern w:val="44"/>
                <w:sz w:val="21"/>
                <w:szCs w:val="21"/>
                <w:lang w:val="en-US" w:eastAsia="zh-CN"/>
              </w:rPr>
              <w:t>深入推进医保支付方式改革。</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bookmarkStart w:id="56" w:name="OLE_LINK45"/>
            <w:r>
              <w:rPr>
                <w:rFonts w:hint="eastAsia" w:ascii="宋体" w:hAnsi="宋体" w:eastAsia="宋体" w:cs="宋体"/>
                <w:kern w:val="44"/>
                <w:sz w:val="21"/>
                <w:szCs w:val="21"/>
                <w:lang w:val="en-US" w:eastAsia="zh-CN"/>
              </w:rPr>
              <w:t>提升医保经办人员服务水平。</w:t>
            </w:r>
          </w:p>
          <w:bookmarkEnd w:id="56"/>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p>
        </w:tc>
        <w:tc>
          <w:tcPr>
            <w:tcW w:w="153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按照《武汉市DRG支付方式改革三年行动实施方案》，组织区内相关医疗机构开展DRG付费政策培训，做好</w:t>
            </w:r>
            <w:bookmarkStart w:id="57" w:name="OLE_LINK47"/>
            <w:r>
              <w:rPr>
                <w:rFonts w:hint="eastAsia" w:ascii="宋体" w:hAnsi="宋体" w:eastAsia="宋体" w:cs="宋体"/>
                <w:kern w:val="0"/>
                <w:sz w:val="21"/>
                <w:szCs w:val="21"/>
                <w:lang w:val="en-US" w:eastAsia="zh-CN"/>
              </w:rPr>
              <w:t>工作指导，持续稳步推进DRG付费落地。</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pPr>
            <w:r>
              <w:rPr>
                <w:rFonts w:hint="eastAsia" w:ascii="宋体" w:hAnsi="宋体" w:eastAsia="宋体" w:cs="宋体"/>
                <w:kern w:val="0"/>
                <w:sz w:val="21"/>
                <w:szCs w:val="21"/>
                <w:lang w:val="en-US" w:eastAsia="zh-CN"/>
              </w:rPr>
              <w:t>组织开展全区经</w:t>
            </w:r>
            <w:bookmarkEnd w:id="57"/>
            <w:r>
              <w:rPr>
                <w:rFonts w:hint="eastAsia" w:ascii="宋体" w:hAnsi="宋体" w:eastAsia="宋体" w:cs="宋体"/>
                <w:kern w:val="0"/>
                <w:sz w:val="21"/>
                <w:szCs w:val="21"/>
                <w:lang w:val="en-US" w:eastAsia="zh-CN"/>
              </w:rPr>
              <w:t>办培训会，安排医保业务骨干授课，组织各街乡、社区100余名医保经办工作人员，就灵活就业、居民医保参保登记、异地就医等经办事项进行培训</w:t>
            </w:r>
            <w:r>
              <w:rPr>
                <w:rFonts w:hint="eastAsia" w:ascii="仿宋_GB2312" w:hAnsi="仿宋_GB2312" w:eastAsia="仿宋_GB2312" w:cs="仿宋_GB2312"/>
                <w:b w:val="0"/>
                <w:bCs w:val="0"/>
                <w:sz w:val="32"/>
                <w:szCs w:val="32"/>
                <w:highlight w:val="none"/>
                <w:lang w:val="en-US" w:eastAsia="zh-CN"/>
              </w:rPr>
              <w:t>。</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p>
        </w:tc>
      </w:tr>
      <w:bookmark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r>
              <w:rPr>
                <w:rFonts w:hint="eastAsia" w:ascii="宋体" w:hAnsi="宋体" w:eastAsia="宋体" w:cs="宋体"/>
                <w:kern w:val="44"/>
                <w:sz w:val="21"/>
                <w:szCs w:val="21"/>
              </w:rPr>
              <w:t>5</w:t>
            </w:r>
          </w:p>
        </w:tc>
        <w:tc>
          <w:tcPr>
            <w:tcW w:w="66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r>
              <w:rPr>
                <w:rFonts w:hint="eastAsia" w:ascii="宋体" w:hAnsi="宋体" w:eastAsia="宋体" w:cs="宋体"/>
                <w:kern w:val="44"/>
                <w:sz w:val="21"/>
                <w:szCs w:val="21"/>
                <w:lang w:val="en-US" w:eastAsia="zh-CN"/>
              </w:rPr>
              <w:t>坚持价格改革，持续开展药品耗材集采</w:t>
            </w:r>
            <w:r>
              <w:rPr>
                <w:rFonts w:hint="eastAsia" w:ascii="楷体_GB2312" w:hAnsi="楷体_GB2312" w:eastAsia="楷体_GB2312" w:cs="楷体_GB2312"/>
                <w:b/>
                <w:bCs/>
                <w:kern w:val="2"/>
                <w:sz w:val="32"/>
                <w:szCs w:val="32"/>
                <w:highlight w:val="none"/>
                <w:lang w:val="en-US" w:eastAsia="zh-CN" w:bidi="ar-SA"/>
              </w:rPr>
              <w:t>。</w:t>
            </w:r>
          </w:p>
        </w:tc>
        <w:tc>
          <w:tcPr>
            <w:tcW w:w="243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lang w:val="en-US" w:eastAsia="zh-CN"/>
              </w:rPr>
            </w:pPr>
            <w:r>
              <w:rPr>
                <w:rFonts w:hint="eastAsia" w:ascii="宋体" w:hAnsi="宋体" w:eastAsia="宋体" w:cs="宋体"/>
                <w:kern w:val="44"/>
                <w:sz w:val="21"/>
                <w:szCs w:val="21"/>
                <w:lang w:val="en-US" w:eastAsia="zh-CN"/>
              </w:rPr>
              <w:t>落实医疗服务价格备案</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lang w:val="en-US" w:eastAsia="zh-CN"/>
              </w:rPr>
            </w:pPr>
            <w:r>
              <w:rPr>
                <w:rFonts w:hint="eastAsia" w:ascii="宋体" w:hAnsi="宋体" w:eastAsia="宋体" w:cs="宋体"/>
                <w:kern w:val="44"/>
                <w:sz w:val="21"/>
                <w:szCs w:val="21"/>
                <w:lang w:val="en-US" w:eastAsia="zh-CN"/>
              </w:rPr>
              <w:t>坚持常态化制度化开展药品耗材集中带量采购工作</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p>
        </w:tc>
        <w:tc>
          <w:tcPr>
            <w:tcW w:w="153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lang w:val="en-US" w:eastAsia="zh-CN"/>
              </w:rPr>
            </w:pPr>
            <w:bookmarkStart w:id="81" w:name="_GoBack"/>
            <w:bookmarkEnd w:id="81"/>
            <w:r>
              <w:rPr>
                <w:rFonts w:hint="eastAsia" w:cs="宋体"/>
                <w:kern w:val="0"/>
                <w:sz w:val="21"/>
                <w:szCs w:val="21"/>
                <w:lang w:val="en-US" w:eastAsia="zh-CN"/>
              </w:rPr>
              <w:t>截至目前</w:t>
            </w:r>
            <w:r>
              <w:rPr>
                <w:rFonts w:hint="eastAsia" w:ascii="宋体" w:hAnsi="宋体" w:eastAsia="宋体" w:cs="宋体"/>
                <w:kern w:val="0"/>
                <w:sz w:val="21"/>
                <w:szCs w:val="21"/>
                <w:lang w:val="en-US" w:eastAsia="zh-CN"/>
              </w:rPr>
              <w:t>受理区内各级定点医疗机构提交的医疗服务项目转正申请备案资料10项。</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组织区内33家次医药机构参与国家、省、市集中采购</w:t>
            </w:r>
            <w:bookmarkStart w:id="58" w:name="OLE_LINK50"/>
            <w:r>
              <w:rPr>
                <w:rFonts w:hint="eastAsia" w:ascii="宋体" w:hAnsi="宋体" w:eastAsia="宋体" w:cs="宋体"/>
                <w:kern w:val="0"/>
                <w:sz w:val="21"/>
                <w:szCs w:val="21"/>
                <w:lang w:val="en-US" w:eastAsia="zh-CN"/>
              </w:rPr>
              <w:t>。鼓励民营定点医疗机构和定点零售药店自愿进入平台采购</w:t>
            </w:r>
            <w:bookmarkEnd w:id="58"/>
            <w:r>
              <w:rPr>
                <w:rFonts w:hint="eastAsia" w:ascii="宋体" w:hAnsi="宋体" w:eastAsia="宋体" w:cs="宋体"/>
                <w:kern w:val="0"/>
                <w:sz w:val="21"/>
                <w:szCs w:val="21"/>
                <w:lang w:val="en-US" w:eastAsia="zh-CN"/>
              </w:rPr>
              <w:t>，进一步促进药品耗材价格回归合理水平。</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r>
              <w:rPr>
                <w:rFonts w:hint="eastAsia" w:ascii="宋体" w:hAnsi="宋体" w:eastAsia="宋体" w:cs="宋体"/>
                <w:kern w:val="44"/>
                <w:sz w:val="21"/>
                <w:szCs w:val="21"/>
              </w:rPr>
              <w:t>6</w:t>
            </w:r>
          </w:p>
        </w:tc>
        <w:tc>
          <w:tcPr>
            <w:tcW w:w="66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r>
              <w:rPr>
                <w:rFonts w:hint="eastAsia" w:ascii="宋体" w:hAnsi="宋体" w:eastAsia="宋体" w:cs="宋体"/>
                <w:kern w:val="44"/>
                <w:sz w:val="21"/>
                <w:szCs w:val="21"/>
              </w:rPr>
              <w:t>坚持高压震慑，深入开展打击欺诈骗保。</w:t>
            </w:r>
          </w:p>
        </w:tc>
        <w:tc>
          <w:tcPr>
            <w:tcW w:w="243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lang w:val="en-US" w:eastAsia="zh-CN"/>
              </w:rPr>
            </w:pPr>
            <w:r>
              <w:rPr>
                <w:rFonts w:hint="eastAsia" w:ascii="宋体" w:hAnsi="宋体" w:eastAsia="宋体" w:cs="宋体"/>
                <w:kern w:val="44"/>
                <w:sz w:val="21"/>
                <w:szCs w:val="21"/>
                <w:lang w:val="en-US" w:eastAsia="zh-CN"/>
              </w:rPr>
              <w:t>高位部署专项整治。</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lang w:val="en-US" w:eastAsia="zh-CN"/>
              </w:rPr>
            </w:pPr>
            <w:r>
              <w:rPr>
                <w:rFonts w:hint="eastAsia" w:ascii="宋体" w:hAnsi="宋体" w:eastAsia="宋体" w:cs="宋体"/>
                <w:kern w:val="44"/>
                <w:sz w:val="21"/>
                <w:szCs w:val="21"/>
                <w:lang w:val="en-US" w:eastAsia="zh-CN"/>
              </w:rPr>
              <w:t>扎实开展政策宣传。</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lang w:val="en-US" w:eastAsia="zh-CN"/>
              </w:rPr>
            </w:pPr>
            <w:r>
              <w:rPr>
                <w:rFonts w:hint="eastAsia" w:ascii="宋体" w:hAnsi="宋体" w:eastAsia="宋体" w:cs="宋体"/>
                <w:kern w:val="44"/>
                <w:sz w:val="21"/>
                <w:szCs w:val="21"/>
                <w:lang w:val="en-US" w:eastAsia="zh-CN"/>
              </w:rPr>
              <w:t>一体推进各项专项整治。</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p>
        </w:tc>
        <w:tc>
          <w:tcPr>
            <w:tcW w:w="153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r>
              <w:rPr>
                <w:rFonts w:hint="eastAsia" w:ascii="宋体" w:hAnsi="宋体" w:eastAsia="宋体" w:cs="宋体"/>
                <w:kern w:val="0"/>
                <w:sz w:val="21"/>
                <w:szCs w:val="21"/>
                <w:lang w:val="en-US" w:eastAsia="zh-CN"/>
              </w:rPr>
              <w:t>一体推进医疗保障凭证套刷生活日用品、不合理检查及用药突出问题、打击欺诈骗保专项整治、省级整改等相关问题“回头看”“三医联动”审计反馈问题等工作。截至目前，累计追回医保基金255.13万元。</w:t>
            </w:r>
          </w:p>
        </w:tc>
      </w:tr>
    </w:tbl>
    <w:p>
      <w:pPr>
        <w:rPr>
          <w:rFonts w:hint="eastAsia" w:ascii="黑体" w:hAnsi="宋体" w:eastAsia="黑体" w:cs="黑体"/>
          <w:b/>
          <w:kern w:val="0"/>
          <w:sz w:val="44"/>
          <w:szCs w:val="44"/>
        </w:rPr>
      </w:pPr>
      <w:r>
        <w:rPr>
          <w:rFonts w:hint="eastAsia" w:ascii="黑体" w:hAnsi="宋体" w:eastAsia="黑体" w:cs="黑体"/>
          <w:b/>
          <w:kern w:val="0"/>
          <w:sz w:val="44"/>
          <w:szCs w:val="44"/>
        </w:rPr>
        <w:br w:type="page"/>
      </w:r>
    </w:p>
    <w:p>
      <w:pPr>
        <w:spacing w:before="0" w:beforeAutospacing="1" w:after="0" w:afterAutospacing="1"/>
        <w:rPr>
          <w:rFonts w:hint="default" w:ascii="Calibri" w:hAnsi="Calibri" w:eastAsia="宋体" w:cs="Times New Roman"/>
          <w:color w:val="0000FF"/>
          <w:kern w:val="2"/>
          <w:sz w:val="21"/>
          <w:szCs w:val="21"/>
        </w:rPr>
      </w:pPr>
      <w:r>
        <w:rPr>
          <w:rFonts w:hint="default" w:ascii="Calibri" w:hAnsi="Calibri" w:eastAsia="宋体" w:cs="Times New Roman"/>
          <w:color w:val="0000FF"/>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ind w:left="0" w:firstLine="1767" w:firstLineChars="400"/>
        <w:rPr>
          <w:rFonts w:hint="default" w:ascii="Times New Roman" w:hAnsi="Times New Roman" w:eastAsia="宋体" w:cs="Times New Roman"/>
          <w:b/>
          <w:kern w:val="44"/>
          <w:sz w:val="44"/>
          <w:szCs w:val="44"/>
        </w:rPr>
      </w:pPr>
      <w:r>
        <w:rPr>
          <w:rFonts w:hint="eastAsia" w:ascii="宋体" w:hAnsi="宋体" w:eastAsia="宋体" w:cs="宋体"/>
          <w:b/>
          <w:kern w:val="44"/>
          <w:sz w:val="44"/>
          <w:szCs w:val="44"/>
        </w:rPr>
        <w:t>第五部分</w:t>
      </w:r>
      <w:r>
        <w:rPr>
          <w:rFonts w:hint="default" w:ascii="Times New Roman" w:hAnsi="Times New Roman" w:eastAsia="宋体" w:cs="Times New Roman"/>
          <w:b/>
          <w:kern w:val="44"/>
          <w:sz w:val="44"/>
          <w:szCs w:val="44"/>
        </w:rPr>
        <w:t xml:space="preserve">  </w:t>
      </w:r>
      <w:r>
        <w:rPr>
          <w:rFonts w:hint="eastAsia" w:ascii="宋体" w:hAnsi="宋体" w:eastAsia="宋体" w:cs="宋体"/>
          <w:b/>
          <w:kern w:val="44"/>
          <w:sz w:val="44"/>
          <w:szCs w:val="44"/>
        </w:rPr>
        <w:t>名词解释</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(一)一般公共预算财政拨款收入：指市级财政一般公共预算当年拨付的资金。</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(二)政府性基金预算财政拨款收入：指市级财政政府性基金预算当年拨付的资金。</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(三)国有资本经营预算财政拨款收入：指市级财政国有资本经营预算当年拨付的资金。</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(四)上级补助收入：指从事业单位主管部门和上级单位取得的非财政补助收入。</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(五)事业收入：指事业单位开展专业业务活动及其辅助活动取得的收入。</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(六)经营收入：指事业单位在专业业务活动及其辅助活动之外开展非独立核算经营活动取得的收入。</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七)其他收入：指单位取得的除上述“一般公共预算财政拨款收入”、“政府性基金预算财政拨款收入”、“国有资本经营预算财政拨款收入”、“上级补助收入”、“事业收入”、“经营收入”等收入以外的各项收入。</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(八)使用非财政拨款结余：指事业单位使用以前年度积累的非财政拨款结余弥补当年收支差额的金额。</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(九)年初结转和结余：指单位以前年度尚未完成、结转到本年仍按原规定用途继续使用的资金，或项目已完成等产生的结余资金。</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(十)本部门使用的支出功能分类科目(到项级)</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1.一般公共服务(类)财政事务(款)行政运行(项)</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(十一)结余分配：指事业单位按照会计制度规定缴纳的企业所得税、提取的专用结余以及转入非财政拨款结余的金额等。</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(十二)年末结转和结余：指单位按有关规定结转到下年或以后年度继续使用的资金，或项目已完成等产生的结余资金。</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(十三)基本支出：指为保障机构正常运转、完成日常工作任务而发生的人员支出和公用支出。</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(十四)项目支出：指在基本支出之外为完成特定行政任务或事业发展目标所发生的支出。</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(十五)经营支出：指事业单位在专业活动及辅助活动之外开展非独立核算经营活动发生的支出。</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十六)“三公”经费：纳入市级财政预决算管理的“三公”经费，是指市直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及燃料费、维修费、过桥过路费、保险费、安全奖励费用等支出；公务接待费反映单位按规定开支的各类公务接待(含外宾接待)费用。</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十七)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Calibri" w:hAnsi="Calibri" w:eastAsia="宋体" w:cs="Times New Roman"/>
          <w:kern w:val="2"/>
          <w:sz w:val="21"/>
          <w:szCs w:val="21"/>
        </w:rPr>
      </w:pPr>
      <w:r>
        <w:rPr>
          <w:rFonts w:hint="eastAsia" w:ascii="仿宋" w:hAnsi="仿宋" w:eastAsia="仿宋" w:cs="仿宋"/>
          <w:kern w:val="44"/>
          <w:sz w:val="32"/>
          <w:szCs w:val="32"/>
        </w:rPr>
        <w:t xml:space="preserve">(十八)其他专用名词。 </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 xml:space="preserve">无。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p>
    <w:p>
      <w:pPr>
        <w:spacing w:before="0" w:beforeAutospacing="1" w:after="0" w:afterAutospacing="1"/>
        <w:rPr>
          <w:rFonts w:hint="default" w:ascii="Calibri" w:hAnsi="Calibri" w:eastAsia="宋体" w:cs="Times New Roman"/>
          <w:kern w:val="2"/>
          <w:sz w:val="21"/>
          <w:szCs w:val="21"/>
        </w:rPr>
      </w:pPr>
    </w:p>
    <w:p>
      <w:pPr>
        <w:pStyle w:val="2"/>
        <w:keepNext w:val="0"/>
        <w:keepLines w:val="0"/>
        <w:widowControl/>
        <w:numPr>
          <w:ilvl w:val="0"/>
          <w:numId w:val="3"/>
        </w:numPr>
        <w:suppressLineNumbers w:val="0"/>
        <w:snapToGrid w:val="0"/>
        <w:spacing w:before="360" w:beforeAutospacing="0" w:after="240" w:afterAutospacing="0" w:line="640" w:lineRule="atLeast"/>
        <w:ind w:left="2832" w:leftChars="0" w:firstLine="0" w:firstLineChars="0"/>
        <w:jc w:val="both"/>
        <w:rPr>
          <w:rFonts w:hint="eastAsia" w:ascii="宋体" w:hAnsi="宋体" w:eastAsia="宋体" w:cs="宋体"/>
          <w:b/>
          <w:kern w:val="44"/>
          <w:sz w:val="44"/>
          <w:szCs w:val="44"/>
        </w:rPr>
      </w:pPr>
      <w:r>
        <w:rPr>
          <w:rFonts w:hint="default" w:ascii="Times New Roman" w:hAnsi="Times New Roman" w:eastAsia="宋体" w:cs="Times New Roman"/>
          <w:b/>
          <w:kern w:val="44"/>
          <w:sz w:val="44"/>
          <w:szCs w:val="44"/>
        </w:rPr>
        <w:t xml:space="preserve"> </w:t>
      </w:r>
      <w:r>
        <w:rPr>
          <w:rFonts w:hint="eastAsia" w:ascii="宋体" w:hAnsi="宋体" w:eastAsia="宋体" w:cs="宋体"/>
          <w:b/>
          <w:kern w:val="44"/>
          <w:sz w:val="44"/>
          <w:szCs w:val="44"/>
        </w:rPr>
        <w:t>附件</w:t>
      </w:r>
      <w:bookmarkStart w:id="59" w:name="OLE_LINK77"/>
    </w:p>
    <w:p>
      <w:pPr>
        <w:keepNext w:val="0"/>
        <w:keepLines w:val="0"/>
        <w:widowControl/>
        <w:suppressLineNumbers w:val="0"/>
        <w:spacing w:before="0" w:beforeAutospacing="1" w:after="0" w:afterAutospacing="1"/>
        <w:jc w:val="both"/>
        <w:rPr>
          <w:rFonts w:hint="eastAsia" w:ascii="宋体" w:hAnsi="宋体" w:eastAsia="宋体" w:cs="Times New Roman"/>
          <w:kern w:val="0"/>
          <w:sz w:val="24"/>
          <w:szCs w:val="24"/>
        </w:rPr>
      </w:pPr>
      <w:bookmarkStart w:id="60" w:name="OLE_LINK79"/>
      <w:r>
        <w:rPr>
          <w:rFonts w:hint="eastAsia" w:ascii="黑体" w:eastAsia="黑体" w:cs="黑体"/>
          <w:b w:val="0"/>
          <w:kern w:val="0"/>
          <w:sz w:val="32"/>
          <w:szCs w:val="32"/>
          <w:lang w:eastAsia="zh-CN"/>
        </w:rPr>
        <w:t>一、</w:t>
      </w:r>
      <w:bookmarkEnd w:id="59"/>
      <w:bookmarkEnd w:id="60"/>
      <w:r>
        <w:rPr>
          <w:rFonts w:hint="eastAsia" w:ascii="方正小标宋简体" w:hAnsi="方正小标宋简体" w:eastAsia="方正小标宋简体" w:cs="方正小标宋简体"/>
          <w:kern w:val="0"/>
          <w:sz w:val="36"/>
          <w:szCs w:val="36"/>
        </w:rPr>
        <w:t>2</w:t>
      </w:r>
      <w:bookmarkStart w:id="61" w:name="OLE_LINK78"/>
      <w:r>
        <w:rPr>
          <w:rFonts w:hint="eastAsia" w:ascii="方正小标宋简体" w:hAnsi="方正小标宋简体" w:eastAsia="方正小标宋简体" w:cs="方正小标宋简体"/>
          <w:kern w:val="0"/>
          <w:sz w:val="36"/>
          <w:szCs w:val="36"/>
        </w:rPr>
        <w:t>02</w:t>
      </w:r>
      <w:r>
        <w:rPr>
          <w:rFonts w:hint="eastAsia" w:ascii="方正小标宋简体" w:hAnsi="方正小标宋简体" w:eastAsia="方正小标宋简体" w:cs="方正小标宋简体"/>
          <w:kern w:val="0"/>
          <w:sz w:val="36"/>
          <w:szCs w:val="36"/>
          <w:lang w:val="en-US" w:eastAsia="zh-CN"/>
        </w:rPr>
        <w:t>3</w:t>
      </w:r>
      <w:r>
        <w:rPr>
          <w:rFonts w:hint="eastAsia" w:ascii="方正小标宋简体" w:hAnsi="方正小标宋简体" w:eastAsia="方正小标宋简体" w:cs="方正小标宋简体"/>
          <w:kern w:val="0"/>
          <w:sz w:val="36"/>
          <w:szCs w:val="36"/>
        </w:rPr>
        <w:t>年度蔡甸区医疗保障局整</w:t>
      </w:r>
      <w:bookmarkEnd w:id="61"/>
      <w:r>
        <w:rPr>
          <w:rFonts w:hint="eastAsia" w:ascii="方正小标宋简体" w:hAnsi="方正小标宋简体" w:eastAsia="方正小标宋简体" w:cs="方正小标宋简体"/>
          <w:kern w:val="0"/>
          <w:sz w:val="36"/>
          <w:szCs w:val="36"/>
        </w:rPr>
        <w:t>体绩效自评表</w:t>
      </w:r>
    </w:p>
    <w:p>
      <w:pPr>
        <w:keepNext w:val="0"/>
        <w:keepLines w:val="0"/>
        <w:widowControl/>
        <w:suppressLineNumbers w:val="0"/>
        <w:jc w:val="left"/>
        <w:rPr>
          <w:rFonts w:hint="default" w:ascii="宋体" w:hAnsi="宋体" w:eastAsia="宋体" w:cs="Times New Roman"/>
          <w:kern w:val="0"/>
          <w:sz w:val="48"/>
          <w:szCs w:val="48"/>
          <w:lang w:val="en-US" w:eastAsia="zh-CN"/>
        </w:rPr>
      </w:pPr>
      <w:r>
        <w:rPr>
          <w:rFonts w:hint="eastAsia" w:ascii="宋体" w:hAnsi="宋体" w:eastAsia="宋体" w:cs="宋体"/>
          <w:kern w:val="0"/>
          <w:sz w:val="28"/>
          <w:szCs w:val="28"/>
        </w:rPr>
        <w:t>单位名称：</w:t>
      </w:r>
      <w:r>
        <w:rPr>
          <w:rFonts w:hint="eastAsia" w:ascii="宋体" w:hAnsi="宋体" w:eastAsia="宋体" w:cs="楷体_GB2312"/>
          <w:kern w:val="0"/>
          <w:sz w:val="28"/>
          <w:szCs w:val="28"/>
        </w:rPr>
        <w:t xml:space="preserve"> </w:t>
      </w:r>
      <w:r>
        <w:rPr>
          <w:rFonts w:hint="eastAsia" w:ascii="宋体" w:hAnsi="宋体" w:eastAsia="宋体" w:cs="宋体"/>
          <w:kern w:val="0"/>
          <w:sz w:val="24"/>
          <w:szCs w:val="24"/>
        </w:rPr>
        <w:t>武汉市蔡甸区医疗保障局</w:t>
      </w:r>
      <w:r>
        <w:rPr>
          <w:rFonts w:hint="eastAsia" w:ascii="宋体" w:hAnsi="宋体" w:eastAsia="宋体" w:cs="仿宋_GB2312"/>
          <w:kern w:val="0"/>
          <w:sz w:val="24"/>
          <w:szCs w:val="24"/>
        </w:rPr>
        <w:t xml:space="preserve">  </w:t>
      </w:r>
      <w:r>
        <w:rPr>
          <w:rFonts w:hint="eastAsia" w:ascii="宋体" w:hAnsi="宋体" w:eastAsia="宋体" w:cs="楷体_GB2312"/>
          <w:kern w:val="0"/>
          <w:sz w:val="28"/>
          <w:szCs w:val="28"/>
        </w:rPr>
        <w:t xml:space="preserve">    </w:t>
      </w:r>
      <w:r>
        <w:rPr>
          <w:rFonts w:hint="eastAsia" w:ascii="宋体" w:hAnsi="宋体" w:eastAsia="宋体" w:cs="宋体"/>
          <w:kern w:val="0"/>
          <w:sz w:val="28"/>
          <w:szCs w:val="28"/>
        </w:rPr>
        <w:t>填报日期：</w:t>
      </w:r>
      <w:r>
        <w:rPr>
          <w:rFonts w:hint="eastAsia" w:ascii="宋体" w:hAnsi="宋体" w:eastAsia="宋体" w:cs="宋体"/>
          <w:kern w:val="0"/>
          <w:sz w:val="24"/>
          <w:szCs w:val="24"/>
        </w:rPr>
        <w:t>202</w:t>
      </w:r>
      <w:r>
        <w:rPr>
          <w:rFonts w:hint="eastAsia" w:cs="宋体"/>
          <w:kern w:val="0"/>
          <w:sz w:val="24"/>
          <w:szCs w:val="24"/>
          <w:lang w:val="en-US" w:eastAsia="zh-CN"/>
        </w:rPr>
        <w:t>4/11</w:t>
      </w:r>
      <w:r>
        <w:rPr>
          <w:rFonts w:hint="eastAsia" w:ascii="宋体" w:hAnsi="宋体" w:eastAsia="宋体" w:cs="宋体"/>
          <w:kern w:val="0"/>
          <w:sz w:val="24"/>
          <w:szCs w:val="24"/>
        </w:rPr>
        <w:t>/</w:t>
      </w:r>
      <w:r>
        <w:rPr>
          <w:rFonts w:hint="eastAsia" w:cs="宋体"/>
          <w:kern w:val="0"/>
          <w:sz w:val="24"/>
          <w:szCs w:val="24"/>
          <w:lang w:val="en-US" w:eastAsia="zh-CN"/>
        </w:rPr>
        <w:t>15</w:t>
      </w:r>
    </w:p>
    <w:tbl>
      <w:tblPr>
        <w:tblStyle w:val="1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3"/>
        <w:gridCol w:w="7"/>
        <w:gridCol w:w="703"/>
        <w:gridCol w:w="1122"/>
        <w:gridCol w:w="583"/>
        <w:gridCol w:w="1412"/>
        <w:gridCol w:w="247"/>
        <w:gridCol w:w="609"/>
        <w:gridCol w:w="1275"/>
        <w:gridCol w:w="426"/>
        <w:gridCol w:w="210"/>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1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单位名称</w:t>
            </w:r>
          </w:p>
        </w:tc>
        <w:tc>
          <w:tcPr>
            <w:tcW w:w="7425"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left="0" w:firstLine="1680" w:firstLineChars="700"/>
              <w:jc w:val="both"/>
              <w:rPr>
                <w:rFonts w:hint="eastAsia" w:ascii="宋体" w:hAnsi="宋体" w:eastAsia="宋体" w:cs="Times New Roman"/>
                <w:kern w:val="0"/>
                <w:sz w:val="24"/>
                <w:szCs w:val="24"/>
              </w:rPr>
            </w:pPr>
            <w:r>
              <w:rPr>
                <w:rFonts w:hint="eastAsia" w:ascii="宋体" w:hAnsi="宋体" w:eastAsia="宋体" w:cs="宋体"/>
                <w:kern w:val="0"/>
                <w:sz w:val="24"/>
                <w:szCs w:val="24"/>
              </w:rPr>
              <w:t>武汉市蔡甸区医疗保障局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1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Times New Roman"/>
                <w:kern w:val="0"/>
                <w:sz w:val="24"/>
                <w:szCs w:val="24"/>
              </w:rPr>
            </w:pPr>
            <w:bookmarkStart w:id="62" w:name="OLE_LINK58" w:colFirst="0" w:colLast="1"/>
            <w:r>
              <w:rPr>
                <w:rFonts w:hint="eastAsia" w:ascii="宋体" w:hAnsi="宋体" w:eastAsia="宋体" w:cs="宋体"/>
                <w:kern w:val="0"/>
                <w:sz w:val="24"/>
                <w:szCs w:val="24"/>
              </w:rPr>
              <w:t>基本支出总额</w:t>
            </w:r>
          </w:p>
        </w:tc>
        <w:tc>
          <w:tcPr>
            <w:tcW w:w="336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宋体" w:cs="Times New Roman"/>
                <w:kern w:val="0"/>
                <w:sz w:val="24"/>
                <w:szCs w:val="24"/>
                <w:highlight w:val="none"/>
                <w:lang w:val="en-US" w:eastAsia="zh-CN"/>
              </w:rPr>
            </w:pPr>
            <w:r>
              <w:rPr>
                <w:rFonts w:hint="eastAsia" w:cs="Times New Roman"/>
                <w:kern w:val="0"/>
                <w:sz w:val="24"/>
                <w:szCs w:val="24"/>
                <w:highlight w:val="none"/>
                <w:lang w:val="en-US" w:eastAsia="zh-CN"/>
              </w:rPr>
              <w:t>217.95</w:t>
            </w:r>
          </w:p>
        </w:tc>
        <w:tc>
          <w:tcPr>
            <w:tcW w:w="252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Times New Roman"/>
                <w:kern w:val="0"/>
                <w:sz w:val="24"/>
                <w:szCs w:val="24"/>
                <w:highlight w:val="none"/>
              </w:rPr>
            </w:pPr>
            <w:r>
              <w:rPr>
                <w:rFonts w:hint="eastAsia" w:ascii="宋体" w:hAnsi="宋体" w:eastAsia="宋体" w:cs="宋体"/>
                <w:kern w:val="0"/>
                <w:sz w:val="24"/>
                <w:szCs w:val="24"/>
                <w:highlight w:val="none"/>
              </w:rPr>
              <w:t>项目支出总额</w:t>
            </w:r>
          </w:p>
        </w:tc>
        <w:tc>
          <w:tcPr>
            <w:tcW w:w="15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宋体" w:cs="Times New Roman"/>
                <w:kern w:val="0"/>
                <w:sz w:val="24"/>
                <w:szCs w:val="24"/>
                <w:highlight w:val="none"/>
                <w:lang w:val="en-US" w:eastAsia="zh-CN"/>
              </w:rPr>
            </w:pPr>
            <w:bookmarkStart w:id="63" w:name="OLE_LINK59"/>
            <w:r>
              <w:rPr>
                <w:rFonts w:hint="eastAsia" w:cs="宋体"/>
                <w:kern w:val="0"/>
                <w:sz w:val="24"/>
                <w:szCs w:val="24"/>
                <w:highlight w:val="none"/>
                <w:lang w:val="en-US" w:eastAsia="zh-CN"/>
              </w:rPr>
              <w:t>183.8</w:t>
            </w:r>
            <w:bookmarkEnd w:id="63"/>
          </w:p>
        </w:tc>
      </w:tr>
      <w:bookmarkEnd w:id="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1523" w:type="dxa"/>
            <w:gridSpan w:val="3"/>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预算执行情况（万元）</w:t>
            </w: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Times New Roman"/>
                <w:kern w:val="0"/>
                <w:sz w:val="24"/>
                <w:szCs w:val="24"/>
                <w:highlight w:val="none"/>
              </w:rPr>
            </w:pPr>
          </w:p>
        </w:tc>
        <w:tc>
          <w:tcPr>
            <w:tcW w:w="19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仿宋_GB2312"/>
                <w:kern w:val="0"/>
                <w:sz w:val="24"/>
                <w:szCs w:val="24"/>
                <w:highlight w:val="none"/>
              </w:rPr>
            </w:pPr>
            <w:r>
              <w:rPr>
                <w:rFonts w:hint="eastAsia" w:ascii="宋体" w:hAnsi="宋体" w:eastAsia="宋体" w:cs="宋体"/>
                <w:kern w:val="0"/>
                <w:sz w:val="24"/>
                <w:szCs w:val="24"/>
                <w:highlight w:val="none"/>
              </w:rPr>
              <w:t>预算数（A）</w:t>
            </w:r>
          </w:p>
        </w:tc>
        <w:tc>
          <w:tcPr>
            <w:tcW w:w="213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仿宋_GB2312"/>
                <w:kern w:val="0"/>
                <w:sz w:val="24"/>
                <w:szCs w:val="24"/>
                <w:highlight w:val="none"/>
              </w:rPr>
            </w:pPr>
            <w:r>
              <w:rPr>
                <w:rFonts w:hint="eastAsia" w:ascii="宋体" w:hAnsi="宋体" w:eastAsia="宋体" w:cs="宋体"/>
                <w:kern w:val="0"/>
                <w:sz w:val="24"/>
                <w:szCs w:val="24"/>
                <w:highlight w:val="none"/>
              </w:rPr>
              <w:t>执行数（B）</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Times New Roman"/>
                <w:kern w:val="0"/>
                <w:sz w:val="24"/>
                <w:szCs w:val="24"/>
                <w:highlight w:val="none"/>
              </w:rPr>
            </w:pPr>
            <w:r>
              <w:rPr>
                <w:rFonts w:hint="eastAsia" w:ascii="宋体" w:hAnsi="宋体" w:eastAsia="宋体" w:cs="宋体"/>
                <w:kern w:val="0"/>
                <w:sz w:val="24"/>
                <w:szCs w:val="24"/>
                <w:highlight w:val="none"/>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1523" w:type="dxa"/>
            <w:gridSpan w:val="3"/>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Times New Roman"/>
                <w:kern w:val="0"/>
                <w:sz w:val="24"/>
                <w:szCs w:val="24"/>
                <w:highlight w:val="none"/>
              </w:rPr>
            </w:pPr>
            <w:r>
              <w:rPr>
                <w:rFonts w:hint="eastAsia" w:ascii="宋体" w:hAnsi="宋体" w:eastAsia="宋体" w:cs="宋体"/>
                <w:kern w:val="0"/>
                <w:sz w:val="24"/>
                <w:szCs w:val="24"/>
                <w:highlight w:val="none"/>
              </w:rPr>
              <w:t>部门整体支出总额</w:t>
            </w:r>
          </w:p>
        </w:tc>
        <w:tc>
          <w:tcPr>
            <w:tcW w:w="19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宋体" w:cs="Times New Roman"/>
                <w:kern w:val="0"/>
                <w:sz w:val="24"/>
                <w:szCs w:val="24"/>
                <w:highlight w:val="none"/>
                <w:lang w:val="en-US" w:eastAsia="zh-CN"/>
              </w:rPr>
            </w:pPr>
            <w:bookmarkStart w:id="64" w:name="OLE_LINK60"/>
            <w:r>
              <w:rPr>
                <w:rFonts w:hint="eastAsia" w:ascii="Arial" w:hAnsi="Arial" w:cs="Arial"/>
                <w:kern w:val="0"/>
                <w:sz w:val="21"/>
                <w:szCs w:val="21"/>
                <w:highlight w:val="none"/>
                <w:lang w:val="en-US" w:eastAsia="zh-CN"/>
              </w:rPr>
              <w:t>401.7</w:t>
            </w:r>
            <w:bookmarkEnd w:id="64"/>
            <w:r>
              <w:rPr>
                <w:rFonts w:hint="eastAsia" w:ascii="Arial" w:hAnsi="Arial" w:cs="Arial"/>
                <w:kern w:val="0"/>
                <w:sz w:val="21"/>
                <w:szCs w:val="21"/>
                <w:highlight w:val="none"/>
                <w:lang w:val="en-US" w:eastAsia="zh-CN"/>
              </w:rPr>
              <w:t>5</w:t>
            </w:r>
          </w:p>
        </w:tc>
        <w:tc>
          <w:tcPr>
            <w:tcW w:w="213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宋体" w:cs="Times New Roman"/>
                <w:kern w:val="0"/>
                <w:sz w:val="24"/>
                <w:szCs w:val="24"/>
                <w:highlight w:val="none"/>
                <w:lang w:val="en-US" w:eastAsia="zh-CN"/>
              </w:rPr>
            </w:pPr>
            <w:r>
              <w:rPr>
                <w:rFonts w:hint="eastAsia" w:ascii="Arial" w:hAnsi="Arial" w:cs="Arial"/>
                <w:kern w:val="0"/>
                <w:sz w:val="21"/>
                <w:szCs w:val="21"/>
                <w:highlight w:val="none"/>
                <w:lang w:val="en-US" w:eastAsia="zh-CN"/>
              </w:rPr>
              <w:t>401.75</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Times New Roman"/>
                <w:kern w:val="0"/>
                <w:sz w:val="24"/>
                <w:szCs w:val="24"/>
                <w:highlight w:val="none"/>
              </w:rPr>
            </w:pPr>
            <w:r>
              <w:rPr>
                <w:rFonts w:hint="default" w:ascii="Arial" w:hAnsi="Arial" w:eastAsia="宋体" w:cs="Arial"/>
                <w:kern w:val="0"/>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948"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eastAsia" w:ascii="宋体" w:hAnsi="宋体" w:eastAsia="宋体" w:cs="Times New Roman"/>
                <w:kern w:val="0"/>
                <w:sz w:val="24"/>
                <w:szCs w:val="24"/>
              </w:rPr>
            </w:pPr>
            <w:r>
              <w:rPr>
                <w:rFonts w:hint="eastAsia" w:ascii="宋体" w:hAnsi="宋体" w:eastAsia="宋体" w:cs="宋体"/>
                <w:kern w:val="0"/>
                <w:sz w:val="24"/>
                <w:szCs w:val="24"/>
              </w:rPr>
              <w:t>年度目标1：</w:t>
            </w:r>
            <w:bookmarkStart w:id="65" w:name="OLE_LINK61"/>
            <w:r>
              <w:rPr>
                <w:rFonts w:hint="eastAsia" w:ascii="宋体" w:hAnsi="宋体" w:eastAsia="宋体" w:cs="宋体"/>
                <w:kern w:val="0"/>
                <w:sz w:val="24"/>
                <w:szCs w:val="24"/>
              </w:rPr>
              <w:t>202</w:t>
            </w:r>
            <w:r>
              <w:rPr>
                <w:rFonts w:hint="eastAsia" w:cs="宋体"/>
                <w:kern w:val="0"/>
                <w:sz w:val="24"/>
                <w:szCs w:val="24"/>
                <w:lang w:val="en-US" w:eastAsia="zh-CN"/>
              </w:rPr>
              <w:t>3</w:t>
            </w:r>
            <w:r>
              <w:rPr>
                <w:rFonts w:hint="eastAsia" w:ascii="宋体" w:hAnsi="宋体" w:eastAsia="宋体" w:cs="宋体"/>
                <w:kern w:val="0"/>
                <w:sz w:val="24"/>
                <w:szCs w:val="24"/>
              </w:rPr>
              <w:t>年度</w:t>
            </w:r>
            <w:r>
              <w:rPr>
                <w:rFonts w:hint="eastAsia" w:ascii="宋体" w:hAnsi="宋体" w:eastAsia="宋体" w:cs="宋体"/>
                <w:kern w:val="0"/>
                <w:sz w:val="24"/>
                <w:szCs w:val="24"/>
                <w:lang w:val="en-US" w:eastAsia="zh-CN"/>
              </w:rPr>
              <w:t>综合性工作经费</w:t>
            </w:r>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20"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jc w:val="center"/>
              <w:rPr>
                <w:rFonts w:hint="eastAsia" w:ascii="宋体" w:hAnsi="宋体" w:eastAsia="宋体" w:cs="Times New Roman"/>
                <w:kern w:val="0"/>
                <w:sz w:val="24"/>
                <w:szCs w:val="24"/>
              </w:rPr>
            </w:pPr>
            <w:bookmarkStart w:id="66" w:name="OLE_LINK54" w:colFirst="0" w:colLast="5"/>
            <w:r>
              <w:rPr>
                <w:rFonts w:hint="eastAsia" w:ascii="宋体" w:hAnsi="宋体" w:eastAsia="宋体" w:cs="宋体"/>
                <w:kern w:val="0"/>
                <w:sz w:val="24"/>
                <w:szCs w:val="24"/>
              </w:rPr>
              <w:t>年度绩效目标完成情况</w:t>
            </w:r>
          </w:p>
        </w:tc>
        <w:tc>
          <w:tcPr>
            <w:tcW w:w="703"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center"/>
              <w:rPr>
                <w:rFonts w:hint="eastAsia" w:ascii="宋体" w:hAnsi="宋体" w:eastAsia="宋体" w:cs="Times New Roman"/>
                <w:kern w:val="0"/>
                <w:sz w:val="24"/>
                <w:szCs w:val="24"/>
              </w:rPr>
            </w:pPr>
            <w:r>
              <w:rPr>
                <w:rFonts w:hint="eastAsia" w:ascii="宋体" w:hAnsi="宋体" w:eastAsia="宋体" w:cs="宋体"/>
                <w:kern w:val="0"/>
                <w:sz w:val="24"/>
                <w:szCs w:val="24"/>
              </w:rPr>
              <w:t>一级指标</w:t>
            </w:r>
          </w:p>
        </w:tc>
        <w:tc>
          <w:tcPr>
            <w:tcW w:w="170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jc w:val="center"/>
              <w:rPr>
                <w:rFonts w:hint="eastAsia" w:ascii="宋体" w:hAnsi="宋体" w:eastAsia="宋体" w:cs="Times New Roman"/>
                <w:kern w:val="0"/>
                <w:sz w:val="24"/>
                <w:szCs w:val="24"/>
              </w:rPr>
            </w:pPr>
            <w:r>
              <w:rPr>
                <w:rFonts w:hint="eastAsia" w:ascii="宋体" w:hAnsi="宋体" w:eastAsia="宋体" w:cs="宋体"/>
                <w:kern w:val="0"/>
                <w:sz w:val="24"/>
                <w:szCs w:val="24"/>
              </w:rPr>
              <w:t>二级指标</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jc w:val="center"/>
              <w:rPr>
                <w:rFonts w:hint="eastAsia" w:ascii="宋体" w:hAnsi="宋体" w:eastAsia="宋体" w:cs="Times New Roman"/>
                <w:kern w:val="0"/>
                <w:sz w:val="24"/>
                <w:szCs w:val="24"/>
              </w:rPr>
            </w:pPr>
            <w:r>
              <w:rPr>
                <w:rFonts w:hint="eastAsia" w:ascii="宋体" w:hAnsi="宋体" w:eastAsia="宋体" w:cs="宋体"/>
                <w:kern w:val="0"/>
                <w:sz w:val="24"/>
                <w:szCs w:val="24"/>
              </w:rPr>
              <w:t>三级指标</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jc w:val="center"/>
              <w:rPr>
                <w:rFonts w:hint="eastAsia" w:ascii="宋体" w:hAnsi="宋体" w:eastAsia="宋体" w:cs="仿宋_GB2312"/>
                <w:kern w:val="0"/>
                <w:sz w:val="24"/>
                <w:szCs w:val="24"/>
              </w:rPr>
            </w:pPr>
            <w:r>
              <w:rPr>
                <w:rFonts w:hint="eastAsia" w:ascii="宋体" w:hAnsi="宋体" w:eastAsia="宋体" w:cs="宋体"/>
                <w:kern w:val="0"/>
                <w:sz w:val="24"/>
                <w:szCs w:val="24"/>
              </w:rPr>
              <w:t>年初目标值</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jc w:val="center"/>
              <w:rPr>
                <w:rFonts w:hint="eastAsia" w:ascii="宋体" w:hAnsi="宋体" w:eastAsia="宋体" w:cs="Times New Roman"/>
                <w:kern w:val="0"/>
                <w:sz w:val="24"/>
                <w:szCs w:val="24"/>
              </w:rPr>
            </w:pPr>
            <w:r>
              <w:rPr>
                <w:rFonts w:hint="eastAsia" w:ascii="宋体" w:hAnsi="宋体" w:eastAsia="宋体" w:cs="宋体"/>
                <w:kern w:val="0"/>
                <w:sz w:val="24"/>
                <w:szCs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ind w:left="0" w:leftChars="0" w:right="0" w:rightChars="0"/>
              <w:rPr>
                <w:rFonts w:hint="default" w:ascii="Times New Roman" w:hAnsi="Times New Roman" w:cs="Times New Roman"/>
                <w:sz w:val="20"/>
                <w:szCs w:val="20"/>
              </w:rPr>
            </w:pPr>
          </w:p>
        </w:tc>
        <w:tc>
          <w:tcPr>
            <w:tcW w:w="703" w:type="dxa"/>
            <w:vMerge w:val="restart"/>
            <w:tcBorders>
              <w:top w:val="nil"/>
              <w:left w:val="nil"/>
              <w:bottom w:val="single" w:color="auto" w:sz="4" w:space="0"/>
              <w:right w:val="single" w:color="auto" w:sz="4" w:space="0"/>
            </w:tcBorders>
            <w:shd w:val="clear" w:color="auto" w:fill="auto"/>
            <w:vAlign w:val="center"/>
          </w:tcPr>
          <w:p>
            <w:pPr>
              <w:ind w:left="0" w:leftChars="0" w:right="0" w:rightChars="0"/>
              <w:jc w:val="center"/>
              <w:rPr>
                <w:rFonts w:hint="eastAsia" w:ascii="宋体" w:hAnsi="宋体" w:eastAsia="宋体" w:cs="Times New Roman"/>
                <w:kern w:val="0"/>
                <w:sz w:val="24"/>
                <w:szCs w:val="24"/>
              </w:rPr>
            </w:pPr>
            <w:r>
              <w:rPr>
                <w:rFonts w:hint="eastAsia" w:ascii="宋体" w:hAnsi="宋体" w:eastAsia="宋体" w:cs="宋体"/>
                <w:kern w:val="0"/>
                <w:sz w:val="24"/>
                <w:szCs w:val="24"/>
              </w:rPr>
              <w:t>产出指标</w:t>
            </w:r>
          </w:p>
        </w:tc>
        <w:tc>
          <w:tcPr>
            <w:tcW w:w="1705" w:type="dxa"/>
            <w:gridSpan w:val="2"/>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ind w:left="0" w:leftChars="0" w:right="0" w:rightChars="0"/>
              <w:jc w:val="center"/>
              <w:rPr>
                <w:rFonts w:hint="eastAsia" w:ascii="宋体" w:hAnsi="宋体" w:eastAsia="宋体" w:cs="Times New Roman"/>
                <w:kern w:val="0"/>
                <w:sz w:val="24"/>
                <w:szCs w:val="24"/>
              </w:rPr>
            </w:pPr>
            <w:r>
              <w:rPr>
                <w:rFonts w:hint="eastAsia" w:ascii="宋体" w:hAnsi="宋体" w:eastAsia="宋体" w:cs="宋体"/>
                <w:kern w:val="0"/>
                <w:sz w:val="24"/>
                <w:szCs w:val="24"/>
              </w:rPr>
              <w:t>质量指标</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hAnsi="宋体" w:eastAsia="仿宋_GB2312" w:cs="Arial"/>
                <w:color w:val="auto"/>
                <w:kern w:val="0"/>
                <w:sz w:val="21"/>
                <w:szCs w:val="21"/>
                <w:lang w:val="en-US" w:eastAsia="zh-CN"/>
              </w:rPr>
            </w:pPr>
            <w:r>
              <w:rPr>
                <w:rFonts w:hint="eastAsia" w:ascii="仿宋_GB2312" w:hAnsi="宋体" w:eastAsia="仿宋_GB2312" w:cs="Arial"/>
                <w:color w:val="auto"/>
                <w:kern w:val="0"/>
                <w:sz w:val="21"/>
                <w:szCs w:val="21"/>
                <w:lang w:val="en-US" w:eastAsia="zh-CN"/>
              </w:rPr>
              <w:t>基金监管、带量采购医疗服务价格水平、工作正常运转；</w:t>
            </w:r>
          </w:p>
          <w:p>
            <w:pPr>
              <w:widowControl/>
              <w:snapToGrid w:val="0"/>
              <w:ind w:left="0" w:leftChars="0" w:right="0" w:rightChars="0"/>
              <w:jc w:val="center"/>
              <w:rPr>
                <w:rFonts w:hint="eastAsia" w:ascii="宋体" w:hAnsi="宋体" w:eastAsia="宋体" w:cs="Times New Roman"/>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1"/>
                <w:szCs w:val="21"/>
                <w:lang w:val="en-US" w:eastAsia="zh-CN"/>
              </w:rPr>
              <w:t>不断优化、单位不出现缺口</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1"/>
                <w:szCs w:val="21"/>
                <w:lang w:val="en-US" w:eastAsia="zh-CN"/>
              </w:rPr>
              <w:t>不断优化、单位不出现缺口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ind w:left="0" w:leftChars="0" w:right="0" w:rightChars="0"/>
              <w:rPr>
                <w:rFonts w:hint="default" w:ascii="Times New Roman" w:hAnsi="Times New Roman" w:cs="Times New Roman"/>
                <w:sz w:val="20"/>
                <w:szCs w:val="20"/>
              </w:rPr>
            </w:pPr>
          </w:p>
        </w:tc>
        <w:tc>
          <w:tcPr>
            <w:tcW w:w="703" w:type="dxa"/>
            <w:vMerge w:val="continue"/>
            <w:tcBorders>
              <w:left w:val="nil"/>
              <w:right w:val="single" w:color="auto" w:sz="4" w:space="0"/>
            </w:tcBorders>
            <w:shd w:val="clear" w:color="auto" w:fill="auto"/>
            <w:vAlign w:val="center"/>
          </w:tcPr>
          <w:p>
            <w:pPr>
              <w:ind w:left="0" w:leftChars="0" w:right="0" w:rightChars="0"/>
              <w:jc w:val="center"/>
              <w:rPr>
                <w:rFonts w:hint="eastAsia" w:ascii="宋体" w:hAnsi="宋体" w:eastAsia="宋体" w:cs="宋体"/>
                <w:kern w:val="0"/>
                <w:sz w:val="24"/>
                <w:szCs w:val="24"/>
              </w:rPr>
            </w:pPr>
          </w:p>
        </w:tc>
        <w:tc>
          <w:tcPr>
            <w:tcW w:w="1705" w:type="dxa"/>
            <w:gridSpan w:val="2"/>
            <w:vMerge w:val="continue"/>
            <w:tcBorders>
              <w:left w:val="nil"/>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jc w:val="center"/>
              <w:rPr>
                <w:rFonts w:hint="eastAsia" w:ascii="宋体" w:hAnsi="宋体" w:eastAsia="宋体" w:cs="宋体"/>
                <w:kern w:val="0"/>
                <w:sz w:val="24"/>
                <w:szCs w:val="24"/>
              </w:rPr>
            </w:pP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default" w:ascii="仿宋_GB2312" w:hAnsi="宋体" w:eastAsia="仿宋_GB2312" w:cs="Arial"/>
                <w:color w:val="auto"/>
                <w:kern w:val="0"/>
                <w:sz w:val="21"/>
                <w:szCs w:val="21"/>
                <w:lang w:val="en-US" w:eastAsia="zh-CN"/>
              </w:rPr>
            </w:pPr>
            <w:r>
              <w:rPr>
                <w:rFonts w:hint="eastAsia" w:ascii="仿宋_GB2312" w:hAnsi="宋体" w:eastAsia="仿宋_GB2312" w:cs="Arial"/>
                <w:color w:val="auto"/>
                <w:kern w:val="0"/>
                <w:sz w:val="21"/>
                <w:szCs w:val="21"/>
                <w:lang w:val="en-US" w:eastAsia="zh-CN"/>
              </w:rPr>
              <w:t>食堂、物业服务保证机关安全、正常办公</w:t>
            </w:r>
          </w:p>
          <w:p>
            <w:pPr>
              <w:widowControl/>
              <w:snapToGrid w:val="0"/>
              <w:ind w:left="0" w:leftChars="0" w:right="0" w:rightChars="0"/>
              <w:jc w:val="center"/>
              <w:rPr>
                <w:rFonts w:hint="eastAsia" w:ascii="宋体" w:hAnsi="宋体" w:eastAsia="宋体" w:cs="Times New Roman"/>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1"/>
                <w:szCs w:val="21"/>
                <w:lang w:val="en-US" w:eastAsia="zh-CN"/>
              </w:rPr>
              <w:t>安全、正常</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1"/>
                <w:szCs w:val="21"/>
                <w:lang w:val="en-US" w:eastAsia="zh-CN"/>
              </w:rPr>
              <w:t>安全、正常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ind w:left="0" w:leftChars="0" w:right="0" w:rightChars="0"/>
              <w:rPr>
                <w:rFonts w:hint="default" w:ascii="Times New Roman" w:hAnsi="Times New Roman" w:cs="Times New Roman"/>
                <w:sz w:val="20"/>
                <w:szCs w:val="20"/>
              </w:rPr>
            </w:pPr>
          </w:p>
        </w:tc>
        <w:tc>
          <w:tcPr>
            <w:tcW w:w="703" w:type="dxa"/>
            <w:vMerge w:val="restart"/>
            <w:tcBorders>
              <w:top w:val="single" w:color="auto" w:sz="4" w:space="0"/>
              <w:left w:val="nil"/>
              <w:right w:val="single" w:color="auto" w:sz="4" w:space="0"/>
            </w:tcBorders>
            <w:shd w:val="clear" w:color="auto" w:fill="auto"/>
            <w:vAlign w:val="center"/>
          </w:tcPr>
          <w:p>
            <w:pPr>
              <w:ind w:left="0" w:leftChars="0" w:right="0" w:rightChars="0"/>
              <w:jc w:val="center"/>
              <w:rPr>
                <w:rFonts w:hint="eastAsia" w:ascii="宋体" w:hAnsi="宋体" w:eastAsia="宋体" w:cs="Times New Roman"/>
                <w:kern w:val="0"/>
                <w:sz w:val="24"/>
                <w:szCs w:val="24"/>
              </w:rPr>
            </w:pPr>
            <w:r>
              <w:rPr>
                <w:rFonts w:hint="eastAsia" w:ascii="宋体" w:hAnsi="宋体" w:eastAsia="宋体" w:cs="宋体"/>
                <w:kern w:val="0"/>
                <w:sz w:val="24"/>
                <w:szCs w:val="24"/>
              </w:rPr>
              <w:t>效益指标</w:t>
            </w:r>
          </w:p>
        </w:tc>
        <w:tc>
          <w:tcPr>
            <w:tcW w:w="1705" w:type="dxa"/>
            <w:gridSpan w:val="2"/>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ind w:left="0" w:leftChars="0" w:right="0" w:rightChars="0"/>
              <w:jc w:val="center"/>
              <w:rPr>
                <w:rFonts w:hint="eastAsia" w:ascii="宋体" w:hAnsi="宋体" w:eastAsia="宋体" w:cs="Times New Roman"/>
                <w:kern w:val="0"/>
                <w:sz w:val="24"/>
                <w:szCs w:val="24"/>
              </w:rPr>
            </w:pPr>
            <w:r>
              <w:rPr>
                <w:rFonts w:hint="eastAsia" w:ascii="宋体" w:hAnsi="宋体" w:eastAsia="宋体" w:cs="宋体"/>
                <w:kern w:val="0"/>
                <w:sz w:val="24"/>
                <w:szCs w:val="24"/>
              </w:rPr>
              <w:t>社会效益指标</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hAnsi="宋体" w:eastAsia="仿宋_GB2312" w:cs="Arial"/>
                <w:color w:val="auto"/>
                <w:kern w:val="0"/>
                <w:sz w:val="21"/>
                <w:szCs w:val="21"/>
                <w:lang w:val="en-US" w:eastAsia="zh-CN"/>
              </w:rPr>
            </w:pPr>
            <w:r>
              <w:rPr>
                <w:rFonts w:hint="eastAsia" w:ascii="仿宋_GB2312" w:hAnsi="宋体" w:eastAsia="仿宋_GB2312" w:cs="Arial"/>
                <w:color w:val="auto"/>
                <w:kern w:val="0"/>
                <w:sz w:val="21"/>
                <w:szCs w:val="21"/>
                <w:lang w:val="en-US" w:eastAsia="zh-CN"/>
              </w:rPr>
              <w:t>公务检查价格违规行为情况</w:t>
            </w:r>
          </w:p>
          <w:p>
            <w:pPr>
              <w:widowControl/>
              <w:snapToGrid w:val="0"/>
              <w:ind w:left="0" w:leftChars="0" w:right="0" w:rightChars="0"/>
              <w:jc w:val="center"/>
              <w:rPr>
                <w:rFonts w:hint="eastAsia" w:ascii="宋体" w:hAnsi="宋体" w:eastAsia="宋体" w:cs="Times New Roman"/>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1"/>
                <w:szCs w:val="21"/>
                <w:lang w:val="en-US" w:eastAsia="zh-CN"/>
              </w:rPr>
              <w:t>无价格违规行为障</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1"/>
                <w:szCs w:val="21"/>
                <w:lang w:val="en-US" w:eastAsia="zh-CN"/>
              </w:rPr>
              <w:t>无价格违规行为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ind w:left="0" w:leftChars="0" w:right="0" w:rightChars="0"/>
              <w:rPr>
                <w:rFonts w:hint="default" w:ascii="Times New Roman" w:hAnsi="Times New Roman" w:cs="Times New Roman"/>
                <w:sz w:val="20"/>
                <w:szCs w:val="20"/>
              </w:rPr>
            </w:pPr>
          </w:p>
        </w:tc>
        <w:tc>
          <w:tcPr>
            <w:tcW w:w="703" w:type="dxa"/>
            <w:vMerge w:val="continue"/>
            <w:tcBorders>
              <w:left w:val="nil"/>
              <w:bottom w:val="single" w:color="auto" w:sz="4" w:space="0"/>
              <w:right w:val="single" w:color="auto" w:sz="4" w:space="0"/>
            </w:tcBorders>
            <w:shd w:val="clear" w:color="auto" w:fill="auto"/>
            <w:vAlign w:val="center"/>
          </w:tcPr>
          <w:p>
            <w:pPr>
              <w:ind w:left="0" w:leftChars="0" w:right="0" w:rightChars="0"/>
              <w:jc w:val="center"/>
              <w:rPr>
                <w:rFonts w:hint="eastAsia" w:ascii="宋体" w:hAnsi="宋体" w:eastAsia="宋体" w:cs="宋体"/>
                <w:kern w:val="0"/>
                <w:sz w:val="24"/>
                <w:szCs w:val="24"/>
              </w:rPr>
            </w:pPr>
          </w:p>
        </w:tc>
        <w:tc>
          <w:tcPr>
            <w:tcW w:w="1705" w:type="dxa"/>
            <w:gridSpan w:val="2"/>
            <w:vMerge w:val="continue"/>
            <w:tcBorders>
              <w:left w:val="nil"/>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jc w:val="center"/>
              <w:rPr>
                <w:rFonts w:hint="eastAsia" w:ascii="宋体" w:hAnsi="宋体" w:eastAsia="宋体" w:cs="宋体"/>
                <w:kern w:val="0"/>
                <w:sz w:val="24"/>
                <w:szCs w:val="24"/>
              </w:rPr>
            </w:pP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1"/>
                <w:szCs w:val="21"/>
                <w:lang w:val="en-US" w:eastAsia="zh-CN"/>
              </w:rPr>
              <w:t>公务检查规范两定医疗机构行为</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1"/>
                <w:szCs w:val="21"/>
                <w:lang w:val="en-US" w:eastAsia="zh-CN"/>
              </w:rPr>
              <w:t>≥497家</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1"/>
                <w:szCs w:val="21"/>
                <w:lang w:val="en-US" w:eastAsia="zh-CN"/>
              </w:rPr>
              <w:t>≥497家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ind w:left="0" w:leftChars="0" w:right="0" w:rightChars="0"/>
              <w:rPr>
                <w:rFonts w:hint="default" w:ascii="Times New Roman" w:hAnsi="Times New Roman" w:cs="Times New Roman"/>
                <w:sz w:val="20"/>
                <w:szCs w:val="20"/>
              </w:rPr>
            </w:pPr>
          </w:p>
        </w:tc>
        <w:tc>
          <w:tcPr>
            <w:tcW w:w="7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jc w:val="center"/>
              <w:rPr>
                <w:rFonts w:hint="eastAsia" w:ascii="宋体" w:hAnsi="宋体" w:eastAsia="宋体" w:cs="Times New Roman"/>
                <w:kern w:val="0"/>
                <w:sz w:val="24"/>
                <w:szCs w:val="24"/>
              </w:rPr>
            </w:pPr>
            <w:r>
              <w:rPr>
                <w:rFonts w:hint="eastAsia" w:ascii="宋体" w:hAnsi="宋体" w:eastAsia="宋体" w:cs="宋体"/>
                <w:kern w:val="0"/>
                <w:sz w:val="24"/>
                <w:szCs w:val="24"/>
              </w:rPr>
              <w:t>满意度指标</w:t>
            </w:r>
          </w:p>
        </w:tc>
        <w:tc>
          <w:tcPr>
            <w:tcW w:w="170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jc w:val="center"/>
              <w:rPr>
                <w:rFonts w:hint="eastAsia" w:ascii="宋体" w:hAnsi="宋体" w:eastAsia="宋体" w:cs="仿宋_GB2312"/>
                <w:kern w:val="0"/>
                <w:sz w:val="24"/>
                <w:szCs w:val="24"/>
              </w:rPr>
            </w:pPr>
            <w:r>
              <w:rPr>
                <w:rFonts w:hint="eastAsia" w:ascii="宋体" w:hAnsi="宋体" w:eastAsia="宋体" w:cs="宋体"/>
                <w:kern w:val="0"/>
                <w:sz w:val="24"/>
                <w:szCs w:val="24"/>
              </w:rPr>
              <w:t>服务对象满意度指标</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1"/>
                <w:szCs w:val="21"/>
                <w:lang w:val="en-US" w:eastAsia="zh-CN"/>
              </w:rPr>
              <w:t>群众满意度，受众调查问卷满意度比率</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1"/>
                <w:szCs w:val="21"/>
                <w:lang w:val="en-US" w:eastAsia="zh-CN"/>
              </w:rPr>
              <w:t>90%</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1"/>
                <w:szCs w:val="21"/>
                <w:lang w:val="en-US" w:eastAsia="zh-CN"/>
              </w:rPr>
              <w:t>90%</w:t>
            </w:r>
          </w:p>
        </w:tc>
      </w:tr>
      <w:bookmark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948"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eastAsia" w:ascii="宋体" w:hAnsi="宋体" w:eastAsia="宋体" w:cs="Times New Roman"/>
                <w:kern w:val="0"/>
                <w:sz w:val="24"/>
                <w:szCs w:val="24"/>
              </w:rPr>
            </w:pPr>
            <w:r>
              <w:rPr>
                <w:rFonts w:hint="eastAsia" w:ascii="宋体" w:hAnsi="宋体" w:eastAsia="宋体" w:cs="宋体"/>
                <w:kern w:val="0"/>
                <w:sz w:val="24"/>
                <w:szCs w:val="24"/>
              </w:rPr>
              <w:t>年度目标2：</w:t>
            </w:r>
            <w:r>
              <w:rPr>
                <w:rFonts w:hint="eastAsia" w:ascii="宋体" w:hAnsi="宋体" w:eastAsia="宋体" w:cs="宋体"/>
                <w:b w:val="0"/>
                <w:color w:val="000000"/>
                <w:kern w:val="0"/>
                <w:sz w:val="24"/>
                <w:szCs w:val="24"/>
              </w:rPr>
              <w:t>202</w:t>
            </w:r>
            <w:r>
              <w:rPr>
                <w:rFonts w:hint="eastAsia" w:cs="宋体"/>
                <w:b w:val="0"/>
                <w:color w:val="000000"/>
                <w:kern w:val="0"/>
                <w:sz w:val="24"/>
                <w:szCs w:val="24"/>
                <w:lang w:val="en-US" w:eastAsia="zh-CN"/>
              </w:rPr>
              <w:t>3</w:t>
            </w:r>
            <w:r>
              <w:rPr>
                <w:rFonts w:hint="eastAsia" w:ascii="宋体" w:hAnsi="宋体" w:eastAsia="宋体" w:cs="宋体"/>
                <w:b w:val="0"/>
                <w:color w:val="000000"/>
                <w:kern w:val="0"/>
                <w:sz w:val="24"/>
                <w:szCs w:val="24"/>
              </w:rPr>
              <w:t>年</w:t>
            </w:r>
            <w:r>
              <w:rPr>
                <w:rFonts w:hint="eastAsia" w:ascii="宋体" w:hAnsi="宋体" w:eastAsia="宋体" w:cs="宋体"/>
                <w:b w:val="0"/>
                <w:color w:val="000000"/>
                <w:kern w:val="0"/>
                <w:sz w:val="24"/>
                <w:szCs w:val="24"/>
                <w:lang w:val="en-US" w:eastAsia="zh-CN"/>
              </w:rPr>
              <w:t>基金审计经费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1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eastAsia" w:ascii="宋体" w:hAnsi="宋体" w:eastAsia="宋体" w:cs="Times New Roman"/>
                <w:kern w:val="0"/>
                <w:sz w:val="24"/>
                <w:szCs w:val="24"/>
              </w:rPr>
            </w:pPr>
            <w:r>
              <w:rPr>
                <w:rFonts w:hint="eastAsia" w:ascii="宋体" w:hAnsi="宋体" w:eastAsia="宋体" w:cs="宋体"/>
                <w:kern w:val="0"/>
                <w:sz w:val="24"/>
                <w:szCs w:val="24"/>
              </w:rPr>
              <w:t>年度绩效目标完成情况</w:t>
            </w:r>
          </w:p>
        </w:tc>
        <w:tc>
          <w:tcPr>
            <w:tcW w:w="71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仿宋_GB2312"/>
                <w:kern w:val="0"/>
                <w:sz w:val="24"/>
                <w:szCs w:val="24"/>
              </w:rPr>
            </w:pPr>
            <w:r>
              <w:rPr>
                <w:rFonts w:hint="eastAsia" w:ascii="宋体" w:hAnsi="宋体" w:eastAsia="宋体" w:cs="宋体"/>
                <w:kern w:val="0"/>
                <w:sz w:val="24"/>
                <w:szCs w:val="24"/>
              </w:rPr>
              <w:t>一级指标</w:t>
            </w:r>
          </w:p>
        </w:tc>
        <w:tc>
          <w:tcPr>
            <w:tcW w:w="170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二级指标</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三级指标</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年初目标值</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10"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eastAsia" w:ascii="宋体" w:hAnsi="宋体" w:eastAsia="宋体" w:cs="Times New Roman"/>
                <w:kern w:val="0"/>
                <w:sz w:val="24"/>
                <w:szCs w:val="24"/>
              </w:rPr>
            </w:pPr>
            <w:r>
              <w:rPr>
                <w:rFonts w:hint="eastAsia" w:ascii="宋体" w:hAnsi="宋体" w:eastAsia="宋体" w:cs="宋体"/>
                <w:kern w:val="0"/>
                <w:sz w:val="24"/>
                <w:szCs w:val="24"/>
              </w:rPr>
              <w:t>产出指标</w:t>
            </w:r>
          </w:p>
        </w:tc>
        <w:tc>
          <w:tcPr>
            <w:tcW w:w="170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1"/>
                <w:szCs w:val="21"/>
                <w:lang w:val="en-US" w:eastAsia="zh-CN"/>
              </w:rPr>
              <w:t>数量</w:t>
            </w:r>
            <w:r>
              <w:rPr>
                <w:rFonts w:hint="eastAsia" w:ascii="仿宋_GB2312" w:hAnsi="宋体" w:eastAsia="仿宋_GB2312" w:cs="Arial"/>
                <w:color w:val="auto"/>
                <w:kern w:val="0"/>
                <w:sz w:val="21"/>
                <w:szCs w:val="21"/>
              </w:rPr>
              <w:t>指标</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000000"/>
                <w:kern w:val="0"/>
                <w:sz w:val="21"/>
                <w:szCs w:val="21"/>
                <w:lang w:eastAsia="zh-CN"/>
              </w:rPr>
              <w:t>购买审计服务次数</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2次</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70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1"/>
                <w:szCs w:val="21"/>
                <w:lang w:val="en-US" w:eastAsia="zh-CN"/>
              </w:rPr>
              <w:t>数量</w:t>
            </w:r>
            <w:r>
              <w:rPr>
                <w:rFonts w:hint="eastAsia" w:ascii="仿宋_GB2312" w:hAnsi="宋体" w:eastAsia="仿宋_GB2312" w:cs="Arial"/>
                <w:color w:val="auto"/>
                <w:kern w:val="0"/>
                <w:sz w:val="21"/>
                <w:szCs w:val="21"/>
              </w:rPr>
              <w:t>指标</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1"/>
                <w:szCs w:val="21"/>
                <w:lang w:val="en-US" w:eastAsia="zh-CN"/>
              </w:rPr>
              <w:t>审计发现问题整改情况</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000000"/>
                <w:kern w:val="0"/>
                <w:sz w:val="21"/>
                <w:szCs w:val="21"/>
                <w:lang w:val="en-US" w:eastAsia="zh-CN"/>
              </w:rPr>
              <w:t>100%</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000000"/>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10" w:type="dxa"/>
            <w:gridSpan w:val="2"/>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rPr>
                <w:rFonts w:hint="eastAsia" w:ascii="宋体" w:hAnsi="宋体" w:eastAsia="宋体" w:cs="仿宋_GB2312"/>
                <w:kern w:val="0"/>
                <w:sz w:val="24"/>
                <w:szCs w:val="24"/>
              </w:rPr>
            </w:pPr>
            <w:r>
              <w:rPr>
                <w:rFonts w:hint="eastAsia" w:ascii="宋体" w:hAnsi="宋体" w:eastAsia="宋体" w:cs="宋体"/>
                <w:kern w:val="0"/>
                <w:sz w:val="24"/>
                <w:szCs w:val="24"/>
              </w:rPr>
              <w:t>效益指标</w:t>
            </w:r>
          </w:p>
        </w:tc>
        <w:tc>
          <w:tcPr>
            <w:tcW w:w="170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1"/>
                <w:szCs w:val="21"/>
                <w:lang w:val="en-US" w:eastAsia="zh-CN"/>
              </w:rPr>
              <w:t>时效指标</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hAnsi="宋体" w:eastAsia="仿宋_GB2312" w:cs="Arial"/>
                <w:color w:val="auto"/>
                <w:kern w:val="0"/>
                <w:sz w:val="21"/>
                <w:szCs w:val="21"/>
                <w:lang w:val="en-US" w:eastAsia="zh-CN"/>
              </w:rPr>
            </w:pPr>
            <w:r>
              <w:rPr>
                <w:rFonts w:hint="eastAsia" w:ascii="仿宋_GB2312" w:hAnsi="宋体" w:eastAsia="仿宋_GB2312" w:cs="Arial"/>
                <w:color w:val="auto"/>
                <w:kern w:val="0"/>
                <w:sz w:val="21"/>
                <w:szCs w:val="21"/>
                <w:lang w:val="en-US" w:eastAsia="zh-CN"/>
              </w:rPr>
              <w:t>公务检查价格违规行为情况</w:t>
            </w:r>
          </w:p>
          <w:p>
            <w:pPr>
              <w:widowControl/>
              <w:snapToGrid w:val="0"/>
              <w:ind w:left="0" w:leftChars="0" w:right="0" w:rightChars="0"/>
              <w:jc w:val="center"/>
              <w:rPr>
                <w:rFonts w:hint="eastAsia" w:ascii="宋体" w:hAnsi="宋体" w:eastAsia="宋体" w:cs="Times New Roman"/>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000000"/>
                <w:kern w:val="0"/>
                <w:sz w:val="21"/>
                <w:szCs w:val="21"/>
                <w:lang w:val="en-US" w:eastAsia="zh-CN"/>
              </w:rPr>
              <w:t>100%</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000000"/>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10" w:type="dxa"/>
            <w:gridSpan w:val="2"/>
            <w:vMerge w:val="continue"/>
            <w:tcBorders>
              <w:left w:val="nil"/>
              <w:right w:val="single" w:color="auto" w:sz="4" w:space="0"/>
            </w:tcBorders>
            <w:shd w:val="clear" w:color="auto" w:fill="auto"/>
            <w:vAlign w:val="center"/>
          </w:tcPr>
          <w:p>
            <w:pPr>
              <w:keepNext w:val="0"/>
              <w:keepLines w:val="0"/>
              <w:widowControl/>
              <w:suppressLineNumbers w:val="0"/>
              <w:rPr>
                <w:rFonts w:hint="eastAsia" w:ascii="宋体" w:hAnsi="宋体" w:eastAsia="宋体" w:cs="宋体"/>
                <w:kern w:val="0"/>
                <w:sz w:val="24"/>
                <w:szCs w:val="24"/>
              </w:rPr>
            </w:pPr>
          </w:p>
        </w:tc>
        <w:tc>
          <w:tcPr>
            <w:tcW w:w="1705" w:type="dxa"/>
            <w:gridSpan w:val="2"/>
            <w:tcBorders>
              <w:top w:val="single" w:color="auto" w:sz="4" w:space="0"/>
              <w:left w:val="nil"/>
              <w:bottom w:val="single" w:color="auto" w:sz="4" w:space="0"/>
              <w:right w:val="single" w:color="auto" w:sz="4" w:space="0"/>
            </w:tcBorders>
            <w:shd w:val="clear" w:color="auto" w:fill="auto"/>
            <w:vAlign w:val="center"/>
          </w:tcPr>
          <w:p>
            <w:pPr>
              <w:widowControl/>
              <w:tabs>
                <w:tab w:val="left" w:pos="426"/>
              </w:tabs>
              <w:snapToGrid w:val="0"/>
              <w:ind w:left="0" w:leftChars="0" w:right="0" w:rightChars="0"/>
              <w:jc w:val="left"/>
              <w:rPr>
                <w:rFonts w:hint="eastAsia" w:ascii="宋体" w:hAnsi="宋体" w:eastAsia="宋体" w:cs="宋体"/>
                <w:i w:val="0"/>
                <w:color w:val="000000"/>
                <w:kern w:val="0"/>
                <w:sz w:val="21"/>
                <w:szCs w:val="21"/>
              </w:rPr>
            </w:pPr>
            <w:r>
              <w:rPr>
                <w:rFonts w:hint="eastAsia" w:ascii="仿宋_GB2312" w:hAnsi="宋体" w:eastAsia="仿宋_GB2312" w:cs="Arial"/>
                <w:color w:val="auto"/>
                <w:kern w:val="0"/>
                <w:sz w:val="21"/>
                <w:szCs w:val="21"/>
                <w:lang w:eastAsia="zh-CN"/>
              </w:rPr>
              <w:t>经济</w:t>
            </w:r>
            <w:r>
              <w:rPr>
                <w:rFonts w:hint="eastAsia" w:ascii="仿宋_GB2312" w:hAnsi="宋体" w:eastAsia="仿宋_GB2312" w:cs="Arial"/>
                <w:color w:val="auto"/>
                <w:kern w:val="0"/>
                <w:sz w:val="21"/>
                <w:szCs w:val="21"/>
              </w:rPr>
              <w:t>效益指标</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i w:val="0"/>
                <w:color w:val="000000"/>
                <w:kern w:val="0"/>
                <w:sz w:val="21"/>
                <w:szCs w:val="21"/>
              </w:rPr>
            </w:pPr>
            <w:r>
              <w:rPr>
                <w:rFonts w:hint="eastAsia" w:ascii="仿宋_GB2312" w:hAnsi="宋体" w:eastAsia="仿宋_GB2312" w:cs="Arial"/>
                <w:color w:val="auto"/>
                <w:kern w:val="0"/>
                <w:sz w:val="21"/>
                <w:szCs w:val="21"/>
                <w:lang w:val="en-US" w:eastAsia="zh-CN"/>
              </w:rPr>
              <w:t>检查医疗机构次数</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i w:val="0"/>
                <w:color w:val="000000"/>
                <w:kern w:val="0"/>
                <w:sz w:val="21"/>
                <w:szCs w:val="21"/>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20次</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i w:val="0"/>
                <w:color w:val="000000"/>
                <w:kern w:val="0"/>
                <w:sz w:val="21"/>
                <w:szCs w:val="21"/>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20次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10" w:type="dxa"/>
            <w:gridSpan w:val="2"/>
            <w:vMerge w:val="continue"/>
            <w:tcBorders>
              <w:left w:val="nil"/>
              <w:bottom w:val="single" w:color="auto" w:sz="4" w:space="0"/>
              <w:right w:val="single" w:color="auto" w:sz="4" w:space="0"/>
            </w:tcBorders>
            <w:shd w:val="clear" w:color="auto" w:fill="auto"/>
            <w:vAlign w:val="center"/>
          </w:tcPr>
          <w:p>
            <w:pPr>
              <w:keepNext w:val="0"/>
              <w:keepLines w:val="0"/>
              <w:widowControl/>
              <w:suppressLineNumbers w:val="0"/>
              <w:rPr>
                <w:rFonts w:hint="eastAsia" w:ascii="宋体" w:hAnsi="宋体" w:eastAsia="宋体" w:cs="宋体"/>
                <w:kern w:val="0"/>
                <w:sz w:val="24"/>
                <w:szCs w:val="24"/>
              </w:rPr>
            </w:pPr>
          </w:p>
        </w:tc>
        <w:tc>
          <w:tcPr>
            <w:tcW w:w="170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rPr>
            </w:pPr>
            <w:r>
              <w:rPr>
                <w:rFonts w:hint="eastAsia" w:ascii="仿宋_GB2312" w:hAnsi="宋体" w:eastAsia="仿宋_GB2312" w:cs="Arial"/>
                <w:color w:val="auto"/>
                <w:kern w:val="0"/>
                <w:sz w:val="21"/>
                <w:szCs w:val="21"/>
                <w:lang w:val="en-US" w:eastAsia="zh-CN"/>
              </w:rPr>
              <w:t>社会效益指标</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i w:val="0"/>
                <w:color w:val="000000"/>
                <w:kern w:val="0"/>
                <w:sz w:val="21"/>
                <w:szCs w:val="21"/>
              </w:rPr>
            </w:pPr>
            <w:r>
              <w:rPr>
                <w:rFonts w:hint="eastAsia" w:ascii="仿宋_GB2312" w:hAnsi="宋体" w:eastAsia="仿宋_GB2312" w:cs="Arial"/>
                <w:color w:val="auto"/>
                <w:kern w:val="0"/>
                <w:sz w:val="21"/>
                <w:szCs w:val="21"/>
                <w:lang w:val="en-US" w:eastAsia="zh-CN"/>
              </w:rPr>
              <w:t>基金使用保障</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i w:val="0"/>
                <w:color w:val="000000"/>
                <w:kern w:val="0"/>
                <w:sz w:val="21"/>
                <w:szCs w:val="21"/>
              </w:rPr>
            </w:pPr>
            <w:r>
              <w:rPr>
                <w:rFonts w:hint="eastAsia" w:ascii="仿宋_GB2312" w:hAnsi="宋体" w:eastAsia="仿宋_GB2312" w:cs="Arial"/>
                <w:color w:val="auto"/>
                <w:kern w:val="0"/>
                <w:sz w:val="21"/>
                <w:szCs w:val="21"/>
              </w:rPr>
              <w:t>保障适度、略有结余</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i w:val="0"/>
                <w:color w:val="000000"/>
                <w:kern w:val="0"/>
                <w:sz w:val="21"/>
                <w:szCs w:val="21"/>
              </w:rPr>
            </w:pPr>
            <w:r>
              <w:rPr>
                <w:rFonts w:hint="eastAsia" w:ascii="仿宋_GB2312" w:hAnsi="宋体" w:eastAsia="仿宋_GB2312" w:cs="Arial"/>
                <w:color w:val="auto"/>
                <w:kern w:val="0"/>
                <w:sz w:val="21"/>
                <w:szCs w:val="21"/>
              </w:rPr>
              <w:t>保障适度、略有结余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eastAsia" w:ascii="宋体" w:hAnsi="宋体" w:eastAsia="宋体" w:cs="仿宋_GB2312"/>
                <w:kern w:val="0"/>
                <w:sz w:val="24"/>
                <w:szCs w:val="24"/>
              </w:rPr>
            </w:pPr>
            <w:r>
              <w:rPr>
                <w:rFonts w:hint="eastAsia" w:ascii="宋体" w:hAnsi="宋体" w:eastAsia="宋体" w:cs="宋体"/>
                <w:kern w:val="0"/>
                <w:sz w:val="24"/>
                <w:szCs w:val="24"/>
              </w:rPr>
              <w:t>满意度指标</w:t>
            </w:r>
          </w:p>
        </w:tc>
        <w:tc>
          <w:tcPr>
            <w:tcW w:w="170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Times New Roman"/>
                <w:kern w:val="0"/>
                <w:sz w:val="24"/>
                <w:szCs w:val="24"/>
              </w:rPr>
            </w:pPr>
            <w:r>
              <w:rPr>
                <w:rFonts w:hint="eastAsia" w:ascii="宋体" w:hAnsi="宋体" w:eastAsia="宋体" w:cs="宋体"/>
                <w:i w:val="0"/>
                <w:color w:val="000000"/>
                <w:kern w:val="0"/>
                <w:sz w:val="21"/>
                <w:szCs w:val="21"/>
              </w:rPr>
              <w:t>服务对象满意度指标</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000000"/>
                <w:kern w:val="0"/>
                <w:sz w:val="21"/>
                <w:szCs w:val="21"/>
              </w:rPr>
              <w:t>受众调查问卷满意度比率</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1"/>
                <w:szCs w:val="21"/>
                <w:lang w:val="en-US" w:eastAsia="zh-CN"/>
              </w:rPr>
              <w:t>90%</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1"/>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948"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eastAsia" w:ascii="宋体" w:hAnsi="宋体" w:eastAsia="宋体" w:cs="Times New Roman"/>
                <w:kern w:val="0"/>
                <w:sz w:val="24"/>
                <w:szCs w:val="24"/>
              </w:rPr>
            </w:pPr>
            <w:r>
              <w:rPr>
                <w:rFonts w:hint="eastAsia" w:ascii="宋体" w:hAnsi="宋体" w:eastAsia="宋体" w:cs="宋体"/>
                <w:kern w:val="0"/>
                <w:sz w:val="24"/>
                <w:szCs w:val="24"/>
              </w:rPr>
              <w:t>年度目标3：</w:t>
            </w:r>
            <w:r>
              <w:rPr>
                <w:rFonts w:hint="eastAsia" w:ascii="宋体" w:hAnsi="宋体" w:eastAsia="宋体" w:cs="宋体"/>
                <w:b w:val="0"/>
                <w:color w:val="000000"/>
                <w:kern w:val="0"/>
                <w:sz w:val="24"/>
                <w:szCs w:val="24"/>
              </w:rPr>
              <w:t>202</w:t>
            </w:r>
            <w:r>
              <w:rPr>
                <w:rFonts w:hint="eastAsia" w:cs="宋体"/>
                <w:b w:val="0"/>
                <w:color w:val="000000"/>
                <w:kern w:val="0"/>
                <w:sz w:val="24"/>
                <w:szCs w:val="24"/>
                <w:lang w:val="en-US" w:eastAsia="zh-CN"/>
              </w:rPr>
              <w:t>3</w:t>
            </w:r>
            <w:r>
              <w:rPr>
                <w:rFonts w:hint="eastAsia" w:ascii="宋体" w:hAnsi="宋体" w:eastAsia="宋体" w:cs="仿宋_GB2312"/>
                <w:kern w:val="0"/>
                <w:lang w:val="en-US" w:eastAsia="zh-CN"/>
              </w:rPr>
              <w:t>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13" w:type="dxa"/>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rPr>
                <w:rFonts w:hint="eastAsia" w:ascii="宋体" w:hAnsi="宋体" w:eastAsia="宋体" w:cs="仿宋_GB2312"/>
                <w:kern w:val="0"/>
                <w:sz w:val="24"/>
                <w:szCs w:val="24"/>
              </w:rPr>
            </w:pPr>
            <w:r>
              <w:rPr>
                <w:rFonts w:hint="eastAsia" w:ascii="宋体" w:hAnsi="宋体" w:eastAsia="宋体" w:cs="宋体"/>
                <w:kern w:val="0"/>
                <w:sz w:val="24"/>
                <w:szCs w:val="24"/>
              </w:rPr>
              <w:t>年度绩效目标完成情况</w:t>
            </w:r>
          </w:p>
          <w:p>
            <w:pPr>
              <w:keepNext w:val="0"/>
              <w:keepLines w:val="0"/>
              <w:widowControl/>
              <w:suppressLineNumbers w:val="0"/>
              <w:rPr>
                <w:rFonts w:hint="eastAsia" w:ascii="宋体" w:hAnsi="宋体" w:eastAsia="宋体" w:cs="Times New Roman"/>
                <w:kern w:val="0"/>
                <w:sz w:val="24"/>
                <w:szCs w:val="24"/>
              </w:rPr>
            </w:pPr>
            <w:r>
              <w:rPr>
                <w:rFonts w:hint="eastAsia" w:ascii="宋体" w:hAnsi="宋体" w:eastAsia="宋体" w:cs="宋体"/>
                <w:kern w:val="0"/>
                <w:sz w:val="24"/>
                <w:szCs w:val="24"/>
              </w:rPr>
              <w:t>…</w:t>
            </w:r>
          </w:p>
        </w:tc>
        <w:tc>
          <w:tcPr>
            <w:tcW w:w="71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kern w:val="0"/>
                <w:sz w:val="24"/>
                <w:szCs w:val="24"/>
              </w:rPr>
            </w:pPr>
            <w:r>
              <w:rPr>
                <w:rFonts w:hint="eastAsia" w:ascii="宋体" w:hAnsi="宋体" w:eastAsia="宋体" w:cs="宋体"/>
                <w:kern w:val="0"/>
                <w:sz w:val="24"/>
                <w:szCs w:val="24"/>
              </w:rPr>
              <w:t>一级指标</w:t>
            </w:r>
          </w:p>
        </w:tc>
        <w:tc>
          <w:tcPr>
            <w:tcW w:w="170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二级指标</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三级指标</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年初目标值</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13" w:type="dxa"/>
            <w:vMerge w:val="continue"/>
            <w:tcBorders>
              <w:left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10"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eastAsia" w:ascii="宋体" w:hAnsi="宋体" w:eastAsia="宋体" w:cs="Times New Roman"/>
                <w:kern w:val="0"/>
                <w:sz w:val="24"/>
                <w:szCs w:val="24"/>
              </w:rPr>
            </w:pPr>
            <w:r>
              <w:rPr>
                <w:rFonts w:hint="eastAsia" w:ascii="宋体" w:hAnsi="宋体" w:eastAsia="宋体" w:cs="宋体"/>
                <w:kern w:val="0"/>
                <w:sz w:val="24"/>
                <w:szCs w:val="24"/>
              </w:rPr>
              <w:t>产出指标</w:t>
            </w:r>
          </w:p>
        </w:tc>
        <w:tc>
          <w:tcPr>
            <w:tcW w:w="170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2"/>
                <w:szCs w:val="22"/>
                <w:lang w:val="en-US" w:eastAsia="zh-CN"/>
              </w:rPr>
              <w:t>质量</w:t>
            </w:r>
            <w:r>
              <w:rPr>
                <w:rFonts w:hint="eastAsia" w:ascii="仿宋_GB2312" w:hAnsi="宋体" w:eastAsia="仿宋_GB2312" w:cs="Arial"/>
                <w:color w:val="auto"/>
                <w:kern w:val="0"/>
                <w:sz w:val="22"/>
                <w:szCs w:val="22"/>
              </w:rPr>
              <w:t>指标</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2"/>
                <w:szCs w:val="22"/>
                <w:lang w:val="en-US" w:eastAsia="zh-CN"/>
              </w:rPr>
              <w:t>保证单位工作正常运转</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2"/>
                <w:szCs w:val="22"/>
                <w:lang w:val="en-US" w:eastAsia="zh-CN"/>
              </w:rPr>
              <w:t>各项工作有序开展</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2"/>
                <w:szCs w:val="22"/>
                <w:lang w:val="en-US" w:eastAsia="zh-CN"/>
              </w:rPr>
              <w:t>各项工作有序开展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13" w:type="dxa"/>
            <w:vMerge w:val="continue"/>
            <w:tcBorders>
              <w:left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70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成本指标</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i w:val="0"/>
                <w:color w:val="000000"/>
                <w:kern w:val="0"/>
                <w:sz w:val="21"/>
                <w:szCs w:val="21"/>
              </w:rPr>
              <w:t>预算执行率偏离度绝对值</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firstLine="210" w:firstLineChars="100"/>
              <w:jc w:val="left"/>
              <w:rPr>
                <w:rFonts w:hint="eastAsia" w:ascii="宋体" w:hAnsi="宋体" w:eastAsia="宋体" w:cs="Times New Roman"/>
                <w:kern w:val="0"/>
                <w:sz w:val="24"/>
                <w:szCs w:val="24"/>
              </w:rPr>
            </w:pPr>
            <w:r>
              <w:rPr>
                <w:rFonts w:hint="eastAsia" w:ascii="宋体" w:hAnsi="宋体" w:eastAsia="宋体" w:cs="宋体"/>
                <w:i w:val="0"/>
                <w:color w:val="000000"/>
                <w:kern w:val="0"/>
                <w:sz w:val="21"/>
                <w:szCs w:val="21"/>
              </w:rPr>
              <w:t>≤10%</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i w:val="0"/>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13" w:type="dxa"/>
            <w:vMerge w:val="continue"/>
            <w:tcBorders>
              <w:left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eastAsia" w:ascii="宋体" w:hAnsi="宋体" w:eastAsia="宋体" w:cs="Times New Roman"/>
                <w:kern w:val="0"/>
                <w:sz w:val="24"/>
                <w:szCs w:val="24"/>
              </w:rPr>
            </w:pPr>
            <w:r>
              <w:rPr>
                <w:rFonts w:hint="eastAsia" w:ascii="宋体" w:hAnsi="宋体" w:eastAsia="宋体" w:cs="宋体"/>
                <w:kern w:val="0"/>
                <w:sz w:val="24"/>
                <w:szCs w:val="24"/>
              </w:rPr>
              <w:t>效益指标</w:t>
            </w:r>
          </w:p>
        </w:tc>
        <w:tc>
          <w:tcPr>
            <w:tcW w:w="170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2"/>
                <w:szCs w:val="22"/>
                <w:lang w:val="en-US" w:eastAsia="zh-CN"/>
              </w:rPr>
              <w:t>社会效益指标</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hAnsi="宋体" w:eastAsia="仿宋_GB2312" w:cs="Arial"/>
                <w:color w:val="auto"/>
                <w:kern w:val="0"/>
                <w:sz w:val="22"/>
                <w:szCs w:val="22"/>
                <w:lang w:val="en-US" w:eastAsia="zh-CN"/>
              </w:rPr>
            </w:pPr>
            <w:r>
              <w:rPr>
                <w:rFonts w:hint="eastAsia" w:ascii="仿宋_GB2312" w:hAnsi="宋体" w:eastAsia="仿宋_GB2312" w:cs="Arial"/>
                <w:color w:val="auto"/>
                <w:kern w:val="0"/>
                <w:sz w:val="22"/>
                <w:szCs w:val="22"/>
                <w:lang w:val="en-US" w:eastAsia="zh-CN"/>
              </w:rPr>
              <w:t>机关后勤管理情况</w:t>
            </w:r>
          </w:p>
          <w:p>
            <w:pPr>
              <w:widowControl/>
              <w:snapToGrid w:val="0"/>
              <w:ind w:left="0" w:leftChars="0" w:right="0" w:rightChars="0"/>
              <w:jc w:val="center"/>
              <w:rPr>
                <w:rFonts w:hint="eastAsia" w:ascii="宋体" w:hAnsi="宋体" w:eastAsia="宋体" w:cs="Times New Roman"/>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2"/>
                <w:szCs w:val="22"/>
                <w:lang w:val="en-US" w:eastAsia="zh-CN"/>
              </w:rPr>
              <w:t>得到保障</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2"/>
                <w:szCs w:val="22"/>
                <w:lang w:val="en-US" w:eastAsia="zh-CN"/>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13" w:type="dxa"/>
            <w:vMerge w:val="continue"/>
            <w:tcBorders>
              <w:left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10" w:type="dxa"/>
            <w:gridSpan w:val="2"/>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rPr>
                <w:rFonts w:hint="eastAsia" w:ascii="宋体" w:hAnsi="宋体" w:eastAsia="宋体" w:cs="Times New Roman"/>
                <w:kern w:val="0"/>
                <w:sz w:val="24"/>
                <w:szCs w:val="24"/>
              </w:rPr>
            </w:pPr>
            <w:r>
              <w:rPr>
                <w:rFonts w:hint="eastAsia" w:ascii="宋体" w:hAnsi="宋体" w:eastAsia="宋体" w:cs="宋体"/>
                <w:kern w:val="0"/>
                <w:sz w:val="24"/>
                <w:szCs w:val="24"/>
              </w:rPr>
              <w:t>满意度指标</w:t>
            </w:r>
          </w:p>
        </w:tc>
        <w:tc>
          <w:tcPr>
            <w:tcW w:w="170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Times New Roman"/>
                <w:kern w:val="0"/>
                <w:sz w:val="24"/>
                <w:szCs w:val="24"/>
              </w:rPr>
            </w:pPr>
            <w:r>
              <w:rPr>
                <w:rFonts w:hint="default" w:ascii="仿宋_GB2312" w:hAnsi="宋体" w:eastAsia="仿宋_GB2312" w:cs="Arial"/>
                <w:color w:val="auto"/>
                <w:kern w:val="0"/>
                <w:sz w:val="22"/>
                <w:szCs w:val="22"/>
                <w:lang w:val="en-US" w:eastAsia="zh-CN"/>
              </w:rPr>
              <w:t>服务对象满意度指标</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2"/>
                <w:szCs w:val="22"/>
                <w:lang w:val="en-US" w:eastAsia="zh-CN"/>
              </w:rPr>
              <w:t>群众满意度（窗口）</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2"/>
                <w:szCs w:val="22"/>
                <w:lang w:val="en-US" w:eastAsia="zh-CN"/>
              </w:rPr>
              <w:t>90%。</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Times New Roman"/>
                <w:kern w:val="0"/>
                <w:sz w:val="24"/>
                <w:szCs w:val="24"/>
              </w:rPr>
            </w:pPr>
            <w:r>
              <w:rPr>
                <w:rFonts w:hint="eastAsia" w:ascii="仿宋_GB2312" w:hAnsi="宋体" w:eastAsia="仿宋_GB2312" w:cs="Arial"/>
                <w:color w:val="auto"/>
                <w:kern w:val="0"/>
                <w:sz w:val="22"/>
                <w:szCs w:val="22"/>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13" w:type="dxa"/>
            <w:vMerge w:val="continue"/>
            <w:tcBorders>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10" w:type="dxa"/>
            <w:gridSpan w:val="2"/>
            <w:vMerge w:val="continue"/>
            <w:tcBorders>
              <w:left w:val="nil"/>
              <w:bottom w:val="single" w:color="auto" w:sz="4" w:space="0"/>
              <w:right w:val="single" w:color="auto" w:sz="4" w:space="0"/>
            </w:tcBorders>
            <w:shd w:val="clear" w:color="auto" w:fill="auto"/>
            <w:vAlign w:val="center"/>
          </w:tcPr>
          <w:p>
            <w:pPr>
              <w:keepNext w:val="0"/>
              <w:keepLines w:val="0"/>
              <w:widowControl/>
              <w:suppressLineNumbers w:val="0"/>
              <w:rPr>
                <w:rFonts w:hint="eastAsia" w:ascii="宋体" w:hAnsi="宋体" w:eastAsia="宋体" w:cs="宋体"/>
                <w:kern w:val="0"/>
                <w:sz w:val="24"/>
                <w:szCs w:val="24"/>
              </w:rPr>
            </w:pPr>
          </w:p>
        </w:tc>
        <w:tc>
          <w:tcPr>
            <w:tcW w:w="170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i w:val="0"/>
                <w:color w:val="000000"/>
                <w:kern w:val="0"/>
                <w:sz w:val="21"/>
                <w:szCs w:val="21"/>
              </w:rPr>
            </w:pPr>
            <w:r>
              <w:rPr>
                <w:rFonts w:hint="default" w:ascii="仿宋_GB2312" w:hAnsi="宋体" w:eastAsia="仿宋_GB2312" w:cs="Arial"/>
                <w:color w:val="auto"/>
                <w:kern w:val="0"/>
                <w:sz w:val="22"/>
                <w:szCs w:val="22"/>
                <w:lang w:val="en-US" w:eastAsia="zh-CN"/>
              </w:rPr>
              <w:t>服务对象满意度指标</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i w:val="0"/>
                <w:color w:val="000000"/>
                <w:kern w:val="0"/>
                <w:sz w:val="21"/>
                <w:szCs w:val="21"/>
              </w:rPr>
            </w:pPr>
            <w:r>
              <w:rPr>
                <w:rFonts w:hint="eastAsia" w:ascii="仿宋_GB2312" w:hAnsi="宋体" w:eastAsia="仿宋_GB2312" w:cs="Arial"/>
                <w:color w:val="auto"/>
                <w:kern w:val="0"/>
                <w:sz w:val="22"/>
                <w:szCs w:val="22"/>
                <w:lang w:val="en-US" w:eastAsia="zh-CN"/>
              </w:rPr>
              <w:t>机关干部员工满意度（后勤）</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i w:val="0"/>
                <w:color w:val="000000"/>
                <w:kern w:val="0"/>
                <w:sz w:val="21"/>
                <w:szCs w:val="21"/>
              </w:rPr>
            </w:pPr>
            <w:r>
              <w:rPr>
                <w:rFonts w:hint="eastAsia" w:ascii="仿宋_GB2312" w:hAnsi="宋体" w:eastAsia="仿宋_GB2312" w:cs="Arial"/>
                <w:color w:val="auto"/>
                <w:kern w:val="0"/>
                <w:sz w:val="22"/>
                <w:szCs w:val="22"/>
                <w:lang w:val="en-US" w:eastAsia="zh-CN"/>
              </w:rPr>
              <w:t>≥90%</w:t>
            </w:r>
          </w:p>
        </w:tc>
        <w:tc>
          <w:tcPr>
            <w:tcW w:w="175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i w:val="0"/>
                <w:color w:val="000000"/>
                <w:kern w:val="0"/>
                <w:sz w:val="21"/>
                <w:szCs w:val="21"/>
              </w:rPr>
            </w:pPr>
            <w:r>
              <w:rPr>
                <w:rFonts w:hint="eastAsia" w:ascii="仿宋_GB2312" w:hAnsi="宋体" w:eastAsia="仿宋_GB2312" w:cs="Arial"/>
                <w:color w:val="auto"/>
                <w:kern w:val="0"/>
                <w:sz w:val="22"/>
                <w:szCs w:val="22"/>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0" w:hRule="atLeast"/>
          <w:jc w:val="center"/>
        </w:trPr>
        <w:tc>
          <w:tcPr>
            <w:tcW w:w="1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偏差大或</w:t>
            </w:r>
          </w:p>
          <w:p>
            <w:pPr>
              <w:keepNext w:val="0"/>
              <w:keepLines w:val="0"/>
              <w:widowControl/>
              <w:suppressLineNumbers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目标未完成</w:t>
            </w:r>
          </w:p>
          <w:p>
            <w:pPr>
              <w:keepNext w:val="0"/>
              <w:keepLines w:val="0"/>
              <w:widowControl/>
              <w:suppressLineNumbers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原因分析</w:t>
            </w:r>
          </w:p>
        </w:tc>
        <w:tc>
          <w:tcPr>
            <w:tcW w:w="7425"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Times New Roman"/>
                <w:kern w:val="0"/>
                <w:sz w:val="24"/>
                <w:szCs w:val="24"/>
              </w:rPr>
            </w:pPr>
            <w:r>
              <w:rPr>
                <w:rFonts w:hint="eastAsia" w:ascii="宋体" w:hAnsi="宋体" w:eastAsia="宋体" w:cs="宋体"/>
                <w:kern w:val="0"/>
                <w:sz w:val="24"/>
                <w:szCs w:val="24"/>
              </w:rPr>
              <w:t>202</w:t>
            </w:r>
            <w:r>
              <w:rPr>
                <w:rFonts w:hint="eastAsia" w:cs="宋体"/>
                <w:kern w:val="0"/>
                <w:sz w:val="24"/>
                <w:szCs w:val="24"/>
                <w:lang w:val="en-US" w:eastAsia="zh-CN"/>
              </w:rPr>
              <w:t>3</w:t>
            </w:r>
            <w:r>
              <w:rPr>
                <w:rFonts w:hint="eastAsia" w:ascii="宋体" w:hAnsi="宋体" w:eastAsia="宋体" w:cs="宋体"/>
                <w:kern w:val="0"/>
                <w:sz w:val="24"/>
                <w:szCs w:val="24"/>
              </w:rPr>
              <w:t>年度</w:t>
            </w:r>
            <w:r>
              <w:rPr>
                <w:rFonts w:hint="eastAsia" w:cs="宋体"/>
                <w:kern w:val="0"/>
                <w:sz w:val="24"/>
                <w:szCs w:val="24"/>
                <w:lang w:val="en-US" w:eastAsia="zh-CN"/>
              </w:rPr>
              <w:t>3</w:t>
            </w:r>
            <w:r>
              <w:rPr>
                <w:rFonts w:hint="eastAsia" w:ascii="宋体" w:hAnsi="宋体" w:eastAsia="宋体" w:cs="宋体"/>
                <w:kern w:val="0"/>
                <w:sz w:val="24"/>
                <w:szCs w:val="24"/>
              </w:rPr>
              <w:t>个项目年度绩效目标均已完成，尚无导致年度绩效目标未完成或发生偏离存在的问题和原因。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7" w:hRule="atLeast"/>
          <w:jc w:val="center"/>
        </w:trPr>
        <w:tc>
          <w:tcPr>
            <w:tcW w:w="1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改进措施及</w:t>
            </w:r>
          </w:p>
          <w:p>
            <w:pPr>
              <w:keepNext w:val="0"/>
              <w:keepLines w:val="0"/>
              <w:widowControl/>
              <w:suppressLineNumbers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结果应用方案</w:t>
            </w:r>
          </w:p>
        </w:tc>
        <w:tc>
          <w:tcPr>
            <w:tcW w:w="7425"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仿宋_GB2312"/>
                <w:kern w:val="0"/>
                <w:sz w:val="24"/>
                <w:szCs w:val="24"/>
              </w:rPr>
            </w:pPr>
            <w:r>
              <w:rPr>
                <w:rFonts w:hint="eastAsia" w:ascii="宋体" w:hAnsi="宋体" w:eastAsia="宋体" w:cs="宋体"/>
                <w:kern w:val="0"/>
                <w:sz w:val="24"/>
                <w:szCs w:val="24"/>
              </w:rPr>
              <w:t>加强医保规划和法治化、信息化、标准建设，提升服务能力。</w:t>
            </w:r>
          </w:p>
          <w:p>
            <w:pPr>
              <w:keepNext w:val="0"/>
              <w:keepLines w:val="0"/>
              <w:widowControl/>
              <w:suppressLineNumbers w:val="0"/>
              <w:jc w:val="left"/>
              <w:rPr>
                <w:rFonts w:hint="eastAsia" w:ascii="宋体" w:hAnsi="宋体" w:eastAsia="宋体" w:cs="仿宋_GB2312"/>
                <w:kern w:val="0"/>
                <w:sz w:val="24"/>
                <w:szCs w:val="24"/>
              </w:rPr>
            </w:pPr>
            <w:r>
              <w:rPr>
                <w:rFonts w:hint="eastAsia" w:ascii="宋体" w:hAnsi="宋体" w:eastAsia="宋体" w:cs="宋体"/>
                <w:kern w:val="0"/>
                <w:sz w:val="24"/>
                <w:szCs w:val="24"/>
              </w:rPr>
              <w:t>加强医保法治化建设。加大医保法治宣传力度，拓宽宣传形式，提升宣传效果。深入推进依法行政，推动文明执法规范执法。</w:t>
            </w:r>
          </w:p>
          <w:p>
            <w:pPr>
              <w:keepNext w:val="0"/>
              <w:keepLines w:val="0"/>
              <w:widowControl/>
              <w:suppressLineNumbers w:val="0"/>
              <w:jc w:val="left"/>
              <w:rPr>
                <w:rFonts w:hint="eastAsia" w:ascii="宋体" w:hAnsi="宋体" w:eastAsia="宋体" w:cs="仿宋_GB2312"/>
                <w:kern w:val="0"/>
                <w:sz w:val="24"/>
                <w:szCs w:val="24"/>
              </w:rPr>
            </w:pPr>
            <w:r>
              <w:rPr>
                <w:rFonts w:hint="eastAsia" w:ascii="宋体" w:hAnsi="宋体" w:eastAsia="宋体" w:cs="宋体"/>
                <w:kern w:val="0"/>
                <w:sz w:val="24"/>
                <w:szCs w:val="24"/>
              </w:rPr>
              <w:t>加快医保信息化建设。做好医保信息业务编码标准维护工作。积极推进医疗保障信息与公安、税务、卫健等系统的互联互通，加强数据有序安全共享。</w:t>
            </w:r>
          </w:p>
          <w:p>
            <w:pPr>
              <w:keepNext w:val="0"/>
              <w:keepLines w:val="0"/>
              <w:widowControl/>
              <w:suppressLineNumbers w:val="0"/>
              <w:jc w:val="left"/>
              <w:rPr>
                <w:rFonts w:hint="eastAsia" w:ascii="宋体" w:hAnsi="宋体" w:eastAsia="宋体" w:cs="仿宋_GB2312"/>
                <w:kern w:val="0"/>
                <w:sz w:val="24"/>
                <w:szCs w:val="24"/>
              </w:rPr>
            </w:pPr>
            <w:r>
              <w:rPr>
                <w:rFonts w:hint="eastAsia" w:ascii="宋体" w:hAnsi="宋体" w:eastAsia="宋体" w:cs="宋体"/>
                <w:kern w:val="0"/>
                <w:sz w:val="24"/>
                <w:szCs w:val="24"/>
              </w:rPr>
              <w:t>推进医保标准化建设。做好全区医保系统单位及工作人员等信息业务编码标准化信息维护工作。持续推进医保公共服务标准化规范化建设，落实市局制定统一的经办流程和服务标准，实施统一的医保政务服务事项和办事指南。</w:t>
            </w:r>
          </w:p>
          <w:p>
            <w:pPr>
              <w:keepNext w:val="0"/>
              <w:keepLines w:val="0"/>
              <w:widowControl/>
              <w:suppressLineNumbers w:val="0"/>
              <w:jc w:val="left"/>
              <w:rPr>
                <w:rFonts w:hint="eastAsia" w:ascii="宋体" w:hAnsi="宋体" w:eastAsia="宋体" w:cs="仿宋_GB2312"/>
                <w:kern w:val="0"/>
                <w:sz w:val="24"/>
                <w:szCs w:val="24"/>
              </w:rPr>
            </w:pPr>
            <w:r>
              <w:rPr>
                <w:rFonts w:hint="eastAsia" w:ascii="宋体" w:hAnsi="宋体" w:eastAsia="宋体" w:cs="宋体"/>
                <w:kern w:val="0"/>
                <w:sz w:val="24"/>
                <w:szCs w:val="24"/>
              </w:rPr>
              <w:t>推进经办服务体系建设。大力推进服务下沉，实现区、街乡、村（社区）医保经办全覆盖。加强经办服务队伍建设，打造与新时代医疗保障公共服务要求相适应的专业队伍。加强医疗保障公共管理服务能力配置。</w:t>
            </w:r>
          </w:p>
          <w:p>
            <w:pPr>
              <w:keepNext w:val="0"/>
              <w:keepLines w:val="0"/>
              <w:widowControl/>
              <w:suppressLineNumbers w:val="0"/>
              <w:jc w:val="left"/>
              <w:rPr>
                <w:rFonts w:hint="eastAsia" w:ascii="宋体" w:hAnsi="宋体" w:eastAsia="宋体" w:cs="Times New Roman"/>
                <w:kern w:val="0"/>
                <w:sz w:val="24"/>
                <w:szCs w:val="24"/>
              </w:rPr>
            </w:pPr>
          </w:p>
        </w:tc>
      </w:tr>
    </w:tbl>
    <w:p>
      <w:pPr>
        <w:keepNext w:val="0"/>
        <w:keepLines w:val="0"/>
        <w:widowControl/>
        <w:suppressLineNumbers w:val="0"/>
        <w:spacing w:line="400" w:lineRule="exact"/>
        <w:rPr>
          <w:rFonts w:hint="eastAsia" w:ascii="宋体" w:hAnsi="宋体" w:eastAsia="宋体" w:cs="Times New Roman"/>
          <w:kern w:val="0"/>
          <w:sz w:val="24"/>
          <w:szCs w:val="24"/>
        </w:rPr>
      </w:pPr>
      <w:r>
        <w:rPr>
          <w:rFonts w:hint="eastAsia" w:ascii="宋体" w:hAnsi="宋体" w:eastAsia="宋体" w:cs="宋体"/>
          <w:kern w:val="0"/>
          <w:sz w:val="24"/>
          <w:szCs w:val="24"/>
        </w:rPr>
        <w:t>备注：</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1.预算执行情况口径：预算数为年初预算总额（包括上年结余结转），执行数为调整后单位实际支出数。</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2.定性指标分档原则：分为达成预期指标、部分达成预期指标并具有一定效果、未达成预期指标且效果较差三档。选择部分达成或未达成的，必须说明原因和改进措施。</w:t>
      </w:r>
    </w:p>
    <w:p>
      <w:pPr>
        <w:rPr>
          <w:rFonts w:hint="eastAsia" w:ascii="宋体" w:hAnsi="宋体" w:eastAsia="宋体" w:cs="宋体"/>
          <w:kern w:val="0"/>
          <w:sz w:val="24"/>
          <w:szCs w:val="24"/>
        </w:rPr>
      </w:pPr>
      <w:r>
        <w:rPr>
          <w:rFonts w:hint="eastAsia" w:ascii="宋体" w:hAnsi="宋体" w:eastAsia="宋体" w:cs="宋体"/>
          <w:kern w:val="0"/>
          <w:sz w:val="24"/>
          <w:szCs w:val="24"/>
        </w:rPr>
        <w:t>3.基于经济性和必要性等因素考虑，满意度指标难以统计的，在自评时可不作为必评指标。</w:t>
      </w:r>
    </w:p>
    <w:p>
      <w:pPr>
        <w:keepNext w:val="0"/>
        <w:keepLines w:val="0"/>
        <w:widowControl/>
        <w:suppressLineNumbers w:val="0"/>
        <w:spacing w:line="400" w:lineRule="exact"/>
        <w:jc w:val="both"/>
        <w:rPr>
          <w:rFonts w:hint="eastAsia" w:ascii="宋体" w:hAnsi="宋体" w:eastAsia="宋体" w:cs="宋体"/>
          <w:kern w:val="0"/>
          <w:sz w:val="24"/>
          <w:szCs w:val="24"/>
        </w:rPr>
      </w:pPr>
    </w:p>
    <w:p>
      <w:pPr>
        <w:keepNext w:val="0"/>
        <w:keepLines w:val="0"/>
        <w:widowControl/>
        <w:suppressLineNumbers w:val="0"/>
        <w:spacing w:before="0" w:beforeAutospacing="1" w:after="0" w:afterAutospacing="1"/>
        <w:jc w:val="both"/>
        <w:rPr>
          <w:rFonts w:hint="eastAsia" w:ascii="黑体" w:eastAsia="黑体" w:cs="黑体"/>
          <w:b w:val="0"/>
          <w:kern w:val="0"/>
          <w:sz w:val="32"/>
          <w:szCs w:val="32"/>
          <w:lang w:eastAsia="zh-CN"/>
        </w:rPr>
      </w:pPr>
      <w:bookmarkStart w:id="67" w:name="OLE_LINK53"/>
      <w:r>
        <w:rPr>
          <w:rFonts w:hint="eastAsia" w:ascii="黑体" w:eastAsia="黑体" w:cs="黑体"/>
          <w:b w:val="0"/>
          <w:kern w:val="0"/>
          <w:sz w:val="32"/>
          <w:szCs w:val="32"/>
          <w:lang w:eastAsia="zh-CN"/>
        </w:rPr>
        <w:t>二、20</w:t>
      </w:r>
      <w:bookmarkStart w:id="68" w:name="OLE_LINK80"/>
      <w:r>
        <w:rPr>
          <w:rFonts w:hint="eastAsia" w:ascii="黑体" w:eastAsia="黑体" w:cs="黑体"/>
          <w:b w:val="0"/>
          <w:kern w:val="0"/>
          <w:sz w:val="32"/>
          <w:szCs w:val="32"/>
          <w:lang w:eastAsia="zh-CN"/>
        </w:rPr>
        <w:t>23年度</w:t>
      </w:r>
      <w:r>
        <w:rPr>
          <w:rFonts w:hint="eastAsia" w:ascii="黑体" w:eastAsia="黑体" w:cs="黑体"/>
          <w:b w:val="0"/>
          <w:kern w:val="0"/>
          <w:sz w:val="32"/>
          <w:szCs w:val="32"/>
          <w:lang w:val="en-US" w:eastAsia="zh-CN"/>
        </w:rPr>
        <w:t>综合性工作经</w:t>
      </w:r>
      <w:bookmarkEnd w:id="68"/>
      <w:r>
        <w:rPr>
          <w:rFonts w:hint="eastAsia" w:ascii="黑体" w:eastAsia="黑体" w:cs="黑体"/>
          <w:b w:val="0"/>
          <w:kern w:val="0"/>
          <w:sz w:val="32"/>
          <w:szCs w:val="32"/>
          <w:lang w:val="en-US" w:eastAsia="zh-CN"/>
        </w:rPr>
        <w:t>费</w:t>
      </w:r>
      <w:r>
        <w:rPr>
          <w:rFonts w:hint="eastAsia" w:ascii="黑体" w:eastAsia="黑体" w:cs="黑体"/>
          <w:b w:val="0"/>
          <w:kern w:val="0"/>
          <w:sz w:val="32"/>
          <w:szCs w:val="32"/>
          <w:lang w:eastAsia="zh-CN"/>
        </w:rPr>
        <w:t>项目</w:t>
      </w:r>
      <w:bookmarkStart w:id="69" w:name="OLE_LINK52"/>
      <w:bookmarkStart w:id="70" w:name="OLE_LINK72"/>
      <w:r>
        <w:rPr>
          <w:rFonts w:hint="eastAsia" w:ascii="黑体" w:eastAsia="黑体" w:cs="黑体"/>
          <w:b w:val="0"/>
          <w:kern w:val="0"/>
          <w:sz w:val="32"/>
          <w:szCs w:val="32"/>
          <w:lang w:eastAsia="zh-CN"/>
        </w:rPr>
        <w:t>绩</w:t>
      </w:r>
      <w:bookmarkEnd w:id="69"/>
      <w:r>
        <w:rPr>
          <w:rFonts w:hint="eastAsia" w:ascii="黑体" w:eastAsia="黑体" w:cs="黑体"/>
          <w:b w:val="0"/>
          <w:kern w:val="0"/>
          <w:sz w:val="32"/>
          <w:szCs w:val="32"/>
          <w:lang w:eastAsia="zh-CN"/>
        </w:rPr>
        <w:t>效自评表</w:t>
      </w:r>
      <w:bookmarkEnd w:id="67"/>
      <w:bookmarkEnd w:id="70"/>
    </w:p>
    <w:p>
      <w:pPr>
        <w:keepNext w:val="0"/>
        <w:keepLines w:val="0"/>
        <w:widowControl/>
        <w:suppressLineNumbers w:val="0"/>
        <w:jc w:val="left"/>
        <w:rPr>
          <w:rFonts w:hint="default" w:ascii="宋体" w:hAnsi="宋体" w:eastAsia="宋体" w:cs="宋体"/>
          <w:b/>
          <w:kern w:val="0"/>
          <w:sz w:val="24"/>
          <w:szCs w:val="24"/>
          <w:lang w:val="en-US" w:eastAsia="zh-CN"/>
        </w:rPr>
      </w:pPr>
      <w:r>
        <w:rPr>
          <w:rFonts w:hint="eastAsia" w:ascii="宋体" w:hAnsi="宋体" w:eastAsia="宋体" w:cs="宋体"/>
          <w:b/>
          <w:kern w:val="0"/>
          <w:sz w:val="24"/>
          <w:szCs w:val="24"/>
        </w:rPr>
        <w:t xml:space="preserve">单位名称： </w:t>
      </w:r>
      <w:r>
        <w:rPr>
          <w:rFonts w:hint="eastAsia" w:ascii="宋体" w:hAnsi="宋体" w:eastAsia="宋体" w:cs="宋体"/>
          <w:i w:val="0"/>
          <w:color w:val="000000"/>
          <w:kern w:val="0"/>
          <w:sz w:val="21"/>
          <w:szCs w:val="21"/>
        </w:rPr>
        <w:t xml:space="preserve">武汉市蔡甸区医疗保障局  </w:t>
      </w:r>
      <w:r>
        <w:rPr>
          <w:rFonts w:hint="eastAsia" w:ascii="宋体" w:hAnsi="宋体" w:eastAsia="宋体" w:cs="宋体"/>
          <w:b/>
          <w:kern w:val="0"/>
          <w:sz w:val="24"/>
          <w:szCs w:val="24"/>
        </w:rPr>
        <w:t xml:space="preserve">    填报日期：</w:t>
      </w:r>
      <w:r>
        <w:rPr>
          <w:rFonts w:hint="eastAsia" w:ascii="宋体" w:hAnsi="宋体" w:eastAsia="宋体" w:cs="宋体"/>
          <w:i w:val="0"/>
          <w:color w:val="000000"/>
          <w:kern w:val="0"/>
          <w:sz w:val="21"/>
          <w:szCs w:val="21"/>
        </w:rPr>
        <w:t>202</w:t>
      </w:r>
      <w:r>
        <w:rPr>
          <w:rFonts w:hint="eastAsia" w:cs="宋体"/>
          <w:i w:val="0"/>
          <w:color w:val="000000"/>
          <w:kern w:val="0"/>
          <w:sz w:val="21"/>
          <w:szCs w:val="21"/>
          <w:lang w:val="en-US" w:eastAsia="zh-CN"/>
        </w:rPr>
        <w:t>4</w:t>
      </w:r>
      <w:r>
        <w:rPr>
          <w:rFonts w:hint="eastAsia" w:ascii="宋体" w:hAnsi="宋体" w:eastAsia="宋体" w:cs="宋体"/>
          <w:i w:val="0"/>
          <w:color w:val="000000"/>
          <w:kern w:val="0"/>
          <w:sz w:val="21"/>
          <w:szCs w:val="21"/>
        </w:rPr>
        <w:t>/</w:t>
      </w:r>
      <w:r>
        <w:rPr>
          <w:rFonts w:hint="eastAsia" w:cs="宋体"/>
          <w:i w:val="0"/>
          <w:color w:val="000000"/>
          <w:kern w:val="0"/>
          <w:sz w:val="21"/>
          <w:szCs w:val="21"/>
          <w:lang w:val="en-US" w:eastAsia="zh-CN"/>
        </w:rPr>
        <w:t>11</w:t>
      </w:r>
      <w:r>
        <w:rPr>
          <w:rFonts w:hint="eastAsia" w:ascii="宋体" w:hAnsi="宋体" w:eastAsia="宋体" w:cs="宋体"/>
          <w:i w:val="0"/>
          <w:color w:val="000000"/>
          <w:kern w:val="0"/>
          <w:sz w:val="21"/>
          <w:szCs w:val="21"/>
        </w:rPr>
        <w:t>/</w:t>
      </w:r>
      <w:r>
        <w:rPr>
          <w:rFonts w:hint="eastAsia" w:cs="宋体"/>
          <w:i w:val="0"/>
          <w:color w:val="000000"/>
          <w:kern w:val="0"/>
          <w:sz w:val="21"/>
          <w:szCs w:val="21"/>
          <w:lang w:val="en-US" w:eastAsia="zh-CN"/>
        </w:rPr>
        <w:t>14</w:t>
      </w:r>
    </w:p>
    <w:tbl>
      <w:tblPr>
        <w:tblStyle w:val="1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8"/>
        <w:gridCol w:w="700"/>
        <w:gridCol w:w="1122"/>
        <w:gridCol w:w="733"/>
        <w:gridCol w:w="412"/>
        <w:gridCol w:w="1097"/>
        <w:gridCol w:w="179"/>
        <w:gridCol w:w="167"/>
        <w:gridCol w:w="1108"/>
        <w:gridCol w:w="747"/>
        <w:gridCol w:w="31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项目名称</w:t>
            </w:r>
          </w:p>
        </w:tc>
        <w:tc>
          <w:tcPr>
            <w:tcW w:w="7420"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b w:val="0"/>
                <w:color w:val="000000"/>
                <w:kern w:val="0"/>
                <w:sz w:val="24"/>
                <w:szCs w:val="24"/>
              </w:rPr>
              <w:t>202</w:t>
            </w:r>
            <w:r>
              <w:rPr>
                <w:rFonts w:hint="eastAsia" w:cs="宋体"/>
                <w:b w:val="0"/>
                <w:color w:val="000000"/>
                <w:kern w:val="0"/>
                <w:sz w:val="24"/>
                <w:szCs w:val="24"/>
                <w:lang w:val="en-US" w:eastAsia="zh-CN"/>
              </w:rPr>
              <w:t>3</w:t>
            </w:r>
            <w:r>
              <w:rPr>
                <w:rFonts w:hint="eastAsia" w:ascii="宋体" w:hAnsi="宋体" w:eastAsia="宋体" w:cs="宋体"/>
                <w:b w:val="0"/>
                <w:color w:val="000000"/>
                <w:kern w:val="0"/>
                <w:sz w:val="24"/>
                <w:szCs w:val="24"/>
              </w:rPr>
              <w:t>年</w:t>
            </w:r>
            <w:bookmarkStart w:id="71" w:name="OLE_LINK51"/>
            <w:r>
              <w:rPr>
                <w:rFonts w:hint="eastAsia" w:ascii="宋体" w:hAnsi="宋体" w:eastAsia="宋体" w:cs="宋体"/>
                <w:b w:val="0"/>
                <w:color w:val="000000"/>
                <w:kern w:val="0"/>
                <w:sz w:val="24"/>
                <w:szCs w:val="24"/>
                <w:lang w:val="en-US" w:eastAsia="zh-CN"/>
              </w:rPr>
              <w:t>综合性工作经费</w:t>
            </w:r>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主管部门</w:t>
            </w:r>
          </w:p>
        </w:tc>
        <w:tc>
          <w:tcPr>
            <w:tcW w:w="336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i w:val="0"/>
                <w:color w:val="000000"/>
                <w:kern w:val="0"/>
                <w:sz w:val="21"/>
                <w:szCs w:val="21"/>
              </w:rPr>
              <w:t>武汉市蔡甸区医疗保障局</w:t>
            </w:r>
          </w:p>
        </w:tc>
        <w:tc>
          <w:tcPr>
            <w:tcW w:w="252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项目实施单位</w:t>
            </w:r>
          </w:p>
        </w:tc>
        <w:tc>
          <w:tcPr>
            <w:tcW w:w="15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i w:val="0"/>
                <w:color w:val="000000"/>
                <w:kern w:val="0"/>
                <w:sz w:val="21"/>
                <w:szCs w:val="21"/>
              </w:rPr>
              <w:t>武汉市蔡甸区医疗保障局（本级）</w:t>
            </w: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预算执行情况（万元）</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资金来源</w:t>
            </w:r>
          </w:p>
        </w:tc>
        <w:tc>
          <w:tcPr>
            <w:tcW w:w="185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预算数（A）</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执行数（B）</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一般预算内拨款</w:t>
            </w:r>
          </w:p>
        </w:tc>
        <w:tc>
          <w:tcPr>
            <w:tcW w:w="1855" w:type="dxa"/>
            <w:gridSpan w:val="4"/>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left"/>
              <w:rPr>
                <w:rFonts w:hint="eastAsia" w:ascii="宋体" w:hAnsi="宋体" w:eastAsia="宋体" w:cs="宋体"/>
                <w:kern w:val="0"/>
                <w:sz w:val="21"/>
                <w:szCs w:val="21"/>
              </w:rPr>
            </w:pPr>
            <w:r>
              <w:rPr>
                <w:rFonts w:hint="eastAsia" w:ascii="仿宋" w:hAnsi="仿宋" w:eastAsia="仿宋" w:cs="楷体_GB2312"/>
                <w:b w:val="0"/>
                <w:bCs/>
                <w:kern w:val="0"/>
                <w:sz w:val="24"/>
                <w:szCs w:val="24"/>
                <w:lang w:val="en-US" w:eastAsia="zh-CN"/>
              </w:rPr>
              <w:t>76.8</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left"/>
              <w:rPr>
                <w:rFonts w:hint="eastAsia" w:ascii="宋体" w:hAnsi="宋体" w:eastAsia="宋体" w:cs="宋体"/>
                <w:kern w:val="0"/>
                <w:sz w:val="21"/>
                <w:szCs w:val="21"/>
              </w:rPr>
            </w:pPr>
            <w:r>
              <w:rPr>
                <w:rFonts w:hint="eastAsia" w:ascii="仿宋" w:hAnsi="仿宋" w:eastAsia="仿宋" w:cs="楷体_GB2312"/>
                <w:b w:val="0"/>
                <w:bCs/>
                <w:kern w:val="0"/>
                <w:sz w:val="24"/>
                <w:szCs w:val="24"/>
                <w:lang w:val="en-US" w:eastAsia="zh-CN"/>
              </w:rPr>
              <w:t>76.8</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left"/>
              <w:rPr>
                <w:rFonts w:hint="eastAsia" w:ascii="宋体" w:hAnsi="宋体" w:eastAsia="宋体" w:cs="宋体"/>
                <w:kern w:val="0"/>
                <w:sz w:val="21"/>
                <w:szCs w:val="21"/>
              </w:rPr>
            </w:pPr>
            <w:r>
              <w:rPr>
                <w:rFonts w:hint="eastAsia" w:ascii="仿宋" w:hAnsi="仿宋" w:eastAsia="仿宋" w:cs="楷体_GB2312"/>
                <w:b w:val="0"/>
                <w:bCs/>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85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年度绩效目标完成情况</w:t>
            </w:r>
          </w:p>
          <w:p>
            <w:pPr>
              <w:keepNext w:val="0"/>
              <w:keepLines w:val="0"/>
              <w:widowControl/>
              <w:suppressLineNumbers w:val="0"/>
              <w:snapToGrid w:val="0"/>
              <w:jc w:val="center"/>
              <w:rPr>
                <w:rFonts w:hint="eastAsia" w:ascii="宋体" w:hAnsi="宋体" w:eastAsia="宋体" w:cs="Times New Roman"/>
                <w:kern w:val="0"/>
                <w:sz w:val="24"/>
                <w:szCs w:val="24"/>
              </w:rPr>
            </w:pPr>
          </w:p>
        </w:tc>
        <w:tc>
          <w:tcPr>
            <w:tcW w:w="700"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一级指标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二级指标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三级指标</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年初目标值</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实际完成值</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0" w:type="dxa"/>
            <w:vMerge w:val="restart"/>
            <w:tcBorders>
              <w:top w:val="nil"/>
              <w:left w:val="nil"/>
              <w:right w:val="single" w:color="auto" w:sz="4" w:space="0"/>
            </w:tcBorders>
            <w:shd w:val="clear" w:color="auto" w:fill="auto"/>
            <w:vAlign w:val="center"/>
          </w:tcPr>
          <w:p>
            <w:pPr>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产出指标</w:t>
            </w:r>
          </w:p>
        </w:tc>
        <w:tc>
          <w:tcPr>
            <w:tcW w:w="1122" w:type="dxa"/>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1"/>
                <w:szCs w:val="21"/>
              </w:rPr>
              <w:t>质量指标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lang w:val="en-US" w:eastAsia="zh-CN" w:bidi="ar"/>
              </w:rPr>
            </w:pPr>
            <w:r>
              <w:rPr>
                <w:rFonts w:hint="eastAsia" w:ascii="仿宋_GB2312" w:hAnsi="宋体" w:eastAsia="仿宋_GB2312" w:cs="Arial"/>
                <w:color w:val="auto"/>
                <w:kern w:val="0"/>
                <w:sz w:val="21"/>
                <w:szCs w:val="21"/>
                <w:lang w:val="en-US" w:eastAsia="zh-CN"/>
              </w:rPr>
              <w:t>基金监管、带量采购医疗服务价格水平、工作正常运转；</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lang w:val="en-US" w:eastAsia="zh-CN" w:bidi="ar"/>
              </w:rPr>
            </w:pPr>
            <w:r>
              <w:rPr>
                <w:rFonts w:hint="eastAsia" w:ascii="仿宋_GB2312" w:hAnsi="宋体" w:eastAsia="仿宋_GB2312" w:cs="Arial"/>
                <w:color w:val="auto"/>
                <w:kern w:val="0"/>
                <w:sz w:val="21"/>
                <w:szCs w:val="21"/>
                <w:lang w:val="en-US" w:eastAsia="zh-CN"/>
              </w:rPr>
              <w:t>不断优化、单位不出现缺口</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lang w:val="en-US" w:eastAsia="zh-CN" w:bidi="ar"/>
              </w:rPr>
            </w:pPr>
            <w:r>
              <w:rPr>
                <w:rFonts w:hint="eastAsia" w:ascii="仿宋_GB2312" w:hAnsi="宋体" w:eastAsia="仿宋_GB2312" w:cs="Arial"/>
                <w:color w:val="auto"/>
                <w:kern w:val="0"/>
                <w:sz w:val="21"/>
                <w:szCs w:val="21"/>
                <w:lang w:val="en-US" w:eastAsia="zh-CN"/>
              </w:rPr>
              <w:t>不断优化、单位不出现缺口</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0" w:type="dxa"/>
            <w:vMerge w:val="continue"/>
            <w:tcBorders>
              <w:left w:val="nil"/>
              <w:right w:val="single" w:color="auto" w:sz="4" w:space="0"/>
            </w:tcBorders>
            <w:shd w:val="clear" w:color="auto" w:fill="auto"/>
            <w:vAlign w:val="center"/>
          </w:tcPr>
          <w:p>
            <w:pPr>
              <w:snapToGrid w:val="0"/>
              <w:jc w:val="center"/>
              <w:rPr>
                <w:rFonts w:hint="eastAsia" w:ascii="宋体" w:hAnsi="宋体" w:eastAsia="宋体" w:cs="Times New Roman"/>
                <w:kern w:val="0"/>
                <w:sz w:val="24"/>
                <w:szCs w:val="24"/>
              </w:rPr>
            </w:pPr>
          </w:p>
        </w:tc>
        <w:tc>
          <w:tcPr>
            <w:tcW w:w="1122" w:type="dxa"/>
            <w:vMerge w:val="continue"/>
            <w:tcBorders>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食堂、物业服务保证机关安全、正常办公</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安全、正常</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安全、正常</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0" w:type="dxa"/>
            <w:vMerge w:val="continue"/>
            <w:tcBorders>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both"/>
              <w:rPr>
                <w:rFonts w:hint="eastAsia" w:ascii="宋体" w:hAnsi="宋体" w:eastAsia="宋体" w:cs="宋体"/>
                <w:kern w:val="0"/>
                <w:sz w:val="24"/>
                <w:szCs w:val="24"/>
              </w:rPr>
            </w:pPr>
            <w:r>
              <w:rPr>
                <w:rFonts w:hint="eastAsia" w:ascii="宋体" w:hAnsi="宋体" w:eastAsia="宋体" w:cs="宋体"/>
                <w:kern w:val="0"/>
                <w:sz w:val="24"/>
                <w:szCs w:val="24"/>
              </w:rPr>
              <w:t>成本指标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18"/>
                <w:szCs w:val="18"/>
              </w:rPr>
            </w:pPr>
            <w:r>
              <w:rPr>
                <w:rFonts w:hint="eastAsia" w:ascii="宋体" w:hAnsi="宋体" w:eastAsia="宋体" w:cs="宋体"/>
                <w:i w:val="0"/>
                <w:color w:val="000000"/>
                <w:kern w:val="0"/>
                <w:sz w:val="21"/>
                <w:szCs w:val="21"/>
              </w:rPr>
              <w:t>预算执行率偏离度绝对值</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firstLine="210" w:firstLineChars="100"/>
              <w:jc w:val="left"/>
              <w:rPr>
                <w:rFonts w:hint="eastAsia" w:ascii="宋体" w:hAnsi="宋体" w:eastAsia="宋体" w:cs="宋体"/>
                <w:kern w:val="0"/>
                <w:sz w:val="18"/>
                <w:szCs w:val="18"/>
              </w:rPr>
            </w:pPr>
            <w:r>
              <w:rPr>
                <w:rFonts w:hint="eastAsia" w:ascii="宋体" w:hAnsi="宋体" w:eastAsia="宋体" w:cs="宋体"/>
                <w:i w:val="0"/>
                <w:color w:val="000000"/>
                <w:kern w:val="0"/>
                <w:sz w:val="21"/>
                <w:szCs w:val="21"/>
              </w:rPr>
              <w:t>≤10%</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18"/>
                <w:szCs w:val="18"/>
              </w:rPr>
            </w:pPr>
            <w:r>
              <w:rPr>
                <w:rFonts w:hint="eastAsia" w:ascii="宋体" w:hAnsi="宋体" w:eastAsia="宋体" w:cs="宋体"/>
                <w:i w:val="0"/>
                <w:color w:val="000000"/>
                <w:kern w:val="0"/>
                <w:sz w:val="21"/>
                <w:szCs w:val="21"/>
              </w:rPr>
              <w:t>≤10%</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效益指标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1"/>
                <w:szCs w:val="21"/>
                <w:lang w:val="en-US" w:eastAsia="zh-CN"/>
              </w:rPr>
              <w:t>社会效益指标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公务检查价格违规行为情况</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无价格违规行为障</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无价格违规行为</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1"/>
                <w:szCs w:val="21"/>
                <w:lang w:val="en-US" w:eastAsia="zh-CN"/>
              </w:rPr>
              <w:t>社会效益指标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公务检查规范两定医疗机构行为</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≥497家</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≥497家</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满意度指标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24"/>
                <w:szCs w:val="24"/>
              </w:rPr>
            </w:pPr>
            <w:r>
              <w:rPr>
                <w:rFonts w:hint="default" w:ascii="仿宋_GB2312" w:hAnsi="宋体" w:eastAsia="仿宋_GB2312" w:cs="Arial"/>
                <w:color w:val="auto"/>
                <w:kern w:val="0"/>
                <w:sz w:val="21"/>
                <w:szCs w:val="21"/>
                <w:lang w:val="en-US" w:eastAsia="zh-CN"/>
              </w:rPr>
              <w:t>服务对象满意度指标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 w:val="24"/>
                <w:szCs w:val="24"/>
              </w:rPr>
            </w:pPr>
            <w:r>
              <w:rPr>
                <w:rFonts w:hint="eastAsia" w:ascii="仿宋_GB2312" w:hAnsi="宋体" w:eastAsia="仿宋_GB2312" w:cs="Arial"/>
                <w:color w:val="auto"/>
                <w:kern w:val="0"/>
                <w:sz w:val="21"/>
                <w:szCs w:val="21"/>
                <w:lang w:val="en-US" w:eastAsia="zh-CN"/>
              </w:rPr>
              <w:t>群众满意度，受众调查问卷满意度比率</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hAnsi="宋体" w:eastAsia="仿宋_GB2312" w:cs="Arial"/>
                <w:color w:val="auto"/>
                <w:kern w:val="0"/>
                <w:sz w:val="21"/>
                <w:szCs w:val="21"/>
                <w:lang w:val="en-US" w:eastAsia="zh-CN"/>
              </w:rPr>
            </w:pPr>
            <w:r>
              <w:rPr>
                <w:rFonts w:hint="eastAsia" w:ascii="仿宋_GB2312" w:hAnsi="宋体" w:eastAsia="仿宋_GB2312" w:cs="Arial"/>
                <w:color w:val="auto"/>
                <w:kern w:val="0"/>
                <w:sz w:val="21"/>
                <w:szCs w:val="21"/>
                <w:lang w:val="en-US" w:eastAsia="zh-CN"/>
              </w:rPr>
              <w:t>90%。</w:t>
            </w:r>
          </w:p>
          <w:p>
            <w:pPr>
              <w:widowControl/>
              <w:snapToGrid w:val="0"/>
              <w:ind w:left="0" w:leftChars="0" w:right="0" w:rightChars="0"/>
              <w:jc w:val="center"/>
              <w:rPr>
                <w:rFonts w:hint="eastAsia" w:ascii="宋体" w:hAnsi="宋体" w:eastAsia="宋体" w:cs="宋体"/>
                <w:kern w:val="0"/>
                <w:sz w:val="24"/>
                <w:szCs w:val="24"/>
              </w:rPr>
            </w:pP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hAnsi="宋体" w:eastAsia="仿宋_GB2312" w:cs="Arial"/>
                <w:color w:val="auto"/>
                <w:kern w:val="0"/>
                <w:sz w:val="21"/>
                <w:szCs w:val="21"/>
                <w:lang w:val="en-US" w:eastAsia="zh-CN"/>
              </w:rPr>
            </w:pPr>
            <w:r>
              <w:rPr>
                <w:rFonts w:hint="eastAsia" w:ascii="仿宋_GB2312" w:hAnsi="宋体" w:eastAsia="仿宋_GB2312" w:cs="Arial"/>
                <w:color w:val="auto"/>
                <w:kern w:val="0"/>
                <w:sz w:val="21"/>
                <w:szCs w:val="21"/>
                <w:lang w:val="en-US" w:eastAsia="zh-CN"/>
              </w:rPr>
              <w:t>90%。</w:t>
            </w:r>
          </w:p>
          <w:p>
            <w:pPr>
              <w:widowControl/>
              <w:snapToGrid w:val="0"/>
              <w:ind w:left="0" w:leftChars="0" w:right="0" w:rightChars="0"/>
              <w:jc w:val="center"/>
              <w:rPr>
                <w:rFonts w:hint="eastAsia" w:ascii="宋体" w:hAnsi="宋体" w:eastAsia="宋体" w:cs="宋体"/>
                <w:kern w:val="0"/>
                <w:sz w:val="24"/>
                <w:szCs w:val="24"/>
              </w:rPr>
            </w:pP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bl>
    <w:p>
      <w:pPr>
        <w:keepNext w:val="0"/>
        <w:keepLines w:val="0"/>
        <w:widowControl/>
        <w:suppressLineNumbers w:val="0"/>
        <w:spacing w:line="400" w:lineRule="exact"/>
        <w:rPr>
          <w:rFonts w:hint="eastAsia" w:ascii="宋体" w:hAnsi="宋体" w:eastAsia="宋体" w:cs="Times New Roman"/>
          <w:kern w:val="0"/>
          <w:sz w:val="24"/>
          <w:szCs w:val="24"/>
        </w:rPr>
      </w:pPr>
      <w:r>
        <w:rPr>
          <w:rFonts w:hint="eastAsia" w:ascii="宋体" w:hAnsi="宋体" w:eastAsia="宋体" w:cs="宋体"/>
          <w:kern w:val="0"/>
          <w:sz w:val="24"/>
          <w:szCs w:val="24"/>
        </w:rPr>
        <w:t>备注：</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1.预算执行情况口径：预算数为调整后项目预算总额（包括上年结余结转），执行数为项目实际完成支出。</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2.定性指标分档原则：分为达成预期指标、部分达成预期指标并具有一定效果、未达成预期指标且效果较差三档。选择部分达成或未达成的，必须说明原因和改进措施。</w:t>
      </w:r>
    </w:p>
    <w:p>
      <w:pPr>
        <w:keepNext w:val="0"/>
        <w:keepLines w:val="0"/>
        <w:widowControl/>
        <w:suppressLineNumbers w:val="0"/>
        <w:spacing w:line="400" w:lineRule="exact"/>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3.基于经济性和必要性等因素考虑，满意度指标难以统计的，在自评时可不作为必评指标。</w:t>
      </w:r>
    </w:p>
    <w:p>
      <w:pPr>
        <w:keepNext w:val="0"/>
        <w:keepLines w:val="0"/>
        <w:widowControl/>
        <w:suppressLineNumbers w:val="0"/>
        <w:spacing w:line="400" w:lineRule="exact"/>
        <w:ind w:left="0" w:firstLine="480" w:firstLineChars="200"/>
        <w:rPr>
          <w:rFonts w:hint="eastAsia" w:ascii="宋体" w:hAnsi="宋体" w:eastAsia="宋体" w:cs="宋体"/>
          <w:kern w:val="0"/>
          <w:sz w:val="24"/>
          <w:szCs w:val="24"/>
        </w:rPr>
      </w:pPr>
    </w:p>
    <w:p>
      <w:pPr>
        <w:keepNext w:val="0"/>
        <w:keepLines w:val="0"/>
        <w:widowControl/>
        <w:suppressLineNumbers w:val="0"/>
        <w:spacing w:before="0" w:beforeAutospacing="1" w:after="0" w:afterAutospacing="1"/>
        <w:jc w:val="both"/>
        <w:rPr>
          <w:rFonts w:hint="eastAsia" w:ascii="黑体" w:eastAsia="黑体" w:cs="黑体"/>
          <w:b w:val="0"/>
          <w:kern w:val="0"/>
          <w:sz w:val="32"/>
          <w:szCs w:val="32"/>
          <w:lang w:eastAsia="zh-CN"/>
        </w:rPr>
      </w:pPr>
      <w:bookmarkStart w:id="72" w:name="OLE_LINK73"/>
      <w:r>
        <w:rPr>
          <w:rFonts w:hint="eastAsia" w:ascii="黑体" w:eastAsia="黑体" w:cs="黑体"/>
          <w:b w:val="0"/>
          <w:kern w:val="0"/>
          <w:sz w:val="32"/>
          <w:szCs w:val="32"/>
          <w:lang w:val="en-US" w:eastAsia="zh-CN"/>
        </w:rPr>
        <w:t>三、2</w:t>
      </w:r>
      <w:bookmarkStart w:id="73" w:name="OLE_LINK69"/>
      <w:r>
        <w:rPr>
          <w:rFonts w:hint="eastAsia" w:ascii="黑体" w:eastAsia="黑体" w:cs="黑体"/>
          <w:b w:val="0"/>
          <w:kern w:val="0"/>
          <w:sz w:val="32"/>
          <w:szCs w:val="32"/>
          <w:lang w:eastAsia="zh-CN"/>
        </w:rPr>
        <w:t>02</w:t>
      </w:r>
      <w:bookmarkEnd w:id="73"/>
      <w:r>
        <w:rPr>
          <w:rFonts w:hint="eastAsia" w:ascii="黑体" w:eastAsia="黑体" w:cs="黑体"/>
          <w:b w:val="0"/>
          <w:kern w:val="0"/>
          <w:sz w:val="32"/>
          <w:szCs w:val="32"/>
          <w:lang w:val="en-US" w:eastAsia="zh-CN"/>
        </w:rPr>
        <w:t>3</w:t>
      </w:r>
      <w:r>
        <w:rPr>
          <w:rFonts w:hint="eastAsia" w:ascii="黑体" w:eastAsia="黑体" w:cs="黑体"/>
          <w:b w:val="0"/>
          <w:kern w:val="0"/>
          <w:sz w:val="32"/>
          <w:szCs w:val="32"/>
          <w:lang w:eastAsia="zh-CN"/>
        </w:rPr>
        <w:t>年</w:t>
      </w:r>
      <w:r>
        <w:rPr>
          <w:rFonts w:hint="eastAsia" w:ascii="黑体" w:eastAsia="黑体" w:cs="黑体"/>
          <w:b w:val="0"/>
          <w:kern w:val="0"/>
          <w:sz w:val="32"/>
          <w:szCs w:val="32"/>
          <w:lang w:val="en-US" w:eastAsia="zh-CN"/>
        </w:rPr>
        <w:t>基金审计经费</w:t>
      </w:r>
      <w:r>
        <w:rPr>
          <w:rFonts w:hint="eastAsia" w:ascii="黑体" w:eastAsia="黑体" w:cs="黑体"/>
          <w:b w:val="0"/>
          <w:kern w:val="0"/>
          <w:sz w:val="32"/>
          <w:szCs w:val="32"/>
          <w:lang w:eastAsia="zh-CN"/>
        </w:rPr>
        <w:t>项目绩效自评表</w:t>
      </w:r>
      <w:bookmarkEnd w:id="72"/>
    </w:p>
    <w:p>
      <w:pPr>
        <w:keepNext w:val="0"/>
        <w:keepLines w:val="0"/>
        <w:widowControl/>
        <w:suppressLineNumbers w:val="0"/>
        <w:jc w:val="left"/>
        <w:rPr>
          <w:rFonts w:hint="default" w:ascii="宋体" w:hAnsi="宋体" w:eastAsia="宋体" w:cs="宋体"/>
          <w:b/>
          <w:kern w:val="0"/>
          <w:sz w:val="24"/>
          <w:szCs w:val="24"/>
          <w:lang w:val="en-US" w:eastAsia="zh-CN"/>
        </w:rPr>
      </w:pPr>
      <w:r>
        <w:rPr>
          <w:rFonts w:hint="eastAsia" w:ascii="宋体" w:hAnsi="宋体" w:eastAsia="宋体" w:cs="宋体"/>
          <w:b/>
          <w:kern w:val="0"/>
          <w:sz w:val="24"/>
          <w:szCs w:val="24"/>
        </w:rPr>
        <w:t xml:space="preserve">单位名称： </w:t>
      </w:r>
      <w:r>
        <w:rPr>
          <w:rFonts w:hint="eastAsia" w:ascii="宋体" w:hAnsi="宋体" w:eastAsia="宋体" w:cs="宋体"/>
          <w:i w:val="0"/>
          <w:color w:val="000000"/>
          <w:kern w:val="0"/>
          <w:sz w:val="21"/>
          <w:szCs w:val="21"/>
        </w:rPr>
        <w:t xml:space="preserve">武汉市蔡甸区医疗保障局  </w:t>
      </w:r>
      <w:r>
        <w:rPr>
          <w:rFonts w:hint="eastAsia" w:ascii="宋体" w:hAnsi="宋体" w:eastAsia="宋体" w:cs="宋体"/>
          <w:b/>
          <w:kern w:val="0"/>
          <w:sz w:val="24"/>
          <w:szCs w:val="24"/>
        </w:rPr>
        <w:t xml:space="preserve">    填报日期：</w:t>
      </w:r>
      <w:r>
        <w:rPr>
          <w:rFonts w:hint="eastAsia" w:ascii="宋体" w:hAnsi="宋体" w:eastAsia="宋体" w:cs="宋体"/>
          <w:i w:val="0"/>
          <w:color w:val="000000"/>
          <w:kern w:val="0"/>
          <w:sz w:val="21"/>
          <w:szCs w:val="21"/>
        </w:rPr>
        <w:t>202</w:t>
      </w:r>
      <w:r>
        <w:rPr>
          <w:rFonts w:hint="eastAsia" w:cs="宋体"/>
          <w:i w:val="0"/>
          <w:color w:val="000000"/>
          <w:kern w:val="0"/>
          <w:sz w:val="21"/>
          <w:szCs w:val="21"/>
          <w:lang w:val="en-US" w:eastAsia="zh-CN"/>
        </w:rPr>
        <w:t>4</w:t>
      </w:r>
      <w:r>
        <w:rPr>
          <w:rFonts w:hint="eastAsia" w:ascii="宋体" w:hAnsi="宋体" w:eastAsia="宋体" w:cs="宋体"/>
          <w:i w:val="0"/>
          <w:color w:val="000000"/>
          <w:kern w:val="0"/>
          <w:sz w:val="21"/>
          <w:szCs w:val="21"/>
        </w:rPr>
        <w:t>/</w:t>
      </w:r>
      <w:r>
        <w:rPr>
          <w:rFonts w:hint="eastAsia" w:cs="宋体"/>
          <w:i w:val="0"/>
          <w:color w:val="000000"/>
          <w:kern w:val="0"/>
          <w:sz w:val="21"/>
          <w:szCs w:val="21"/>
          <w:lang w:val="en-US" w:eastAsia="zh-CN"/>
        </w:rPr>
        <w:t>11</w:t>
      </w:r>
      <w:r>
        <w:rPr>
          <w:rFonts w:hint="eastAsia" w:ascii="宋体" w:hAnsi="宋体" w:eastAsia="宋体" w:cs="宋体"/>
          <w:i w:val="0"/>
          <w:color w:val="000000"/>
          <w:kern w:val="0"/>
          <w:sz w:val="21"/>
          <w:szCs w:val="21"/>
        </w:rPr>
        <w:t>/</w:t>
      </w:r>
      <w:r>
        <w:rPr>
          <w:rFonts w:hint="eastAsia" w:cs="宋体"/>
          <w:i w:val="0"/>
          <w:color w:val="000000"/>
          <w:kern w:val="0"/>
          <w:sz w:val="21"/>
          <w:szCs w:val="21"/>
          <w:lang w:val="en-US" w:eastAsia="zh-CN"/>
        </w:rPr>
        <w:t>14</w:t>
      </w:r>
    </w:p>
    <w:tbl>
      <w:tblPr>
        <w:tblStyle w:val="1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8"/>
        <w:gridCol w:w="700"/>
        <w:gridCol w:w="1122"/>
        <w:gridCol w:w="733"/>
        <w:gridCol w:w="412"/>
        <w:gridCol w:w="1097"/>
        <w:gridCol w:w="179"/>
        <w:gridCol w:w="167"/>
        <w:gridCol w:w="1108"/>
        <w:gridCol w:w="747"/>
        <w:gridCol w:w="31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项目名称</w:t>
            </w:r>
          </w:p>
        </w:tc>
        <w:tc>
          <w:tcPr>
            <w:tcW w:w="7420"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b w:val="0"/>
                <w:color w:val="000000"/>
                <w:kern w:val="0"/>
                <w:sz w:val="24"/>
                <w:szCs w:val="24"/>
                <w:lang w:val="en-US" w:eastAsia="zh-CN"/>
              </w:rPr>
              <w:t>2023年</w:t>
            </w:r>
            <w:bookmarkStart w:id="74" w:name="OLE_LINK70"/>
            <w:bookmarkStart w:id="75" w:name="OLE_LINK71"/>
            <w:r>
              <w:rPr>
                <w:rFonts w:hint="eastAsia" w:ascii="宋体" w:hAnsi="宋体" w:eastAsia="宋体" w:cs="宋体"/>
                <w:b w:val="0"/>
                <w:color w:val="000000"/>
                <w:kern w:val="0"/>
                <w:sz w:val="24"/>
                <w:szCs w:val="24"/>
                <w:lang w:val="en-US" w:eastAsia="zh-CN"/>
              </w:rPr>
              <w:t>基金审计经</w:t>
            </w:r>
            <w:bookmarkEnd w:id="74"/>
            <w:r>
              <w:rPr>
                <w:rFonts w:hint="eastAsia" w:ascii="宋体" w:hAnsi="宋体" w:eastAsia="宋体" w:cs="宋体"/>
                <w:b w:val="0"/>
                <w:color w:val="000000"/>
                <w:kern w:val="0"/>
                <w:sz w:val="24"/>
                <w:szCs w:val="24"/>
                <w:lang w:val="en-US" w:eastAsia="zh-CN"/>
              </w:rPr>
              <w:t>费</w:t>
            </w:r>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主管部门</w:t>
            </w:r>
          </w:p>
        </w:tc>
        <w:tc>
          <w:tcPr>
            <w:tcW w:w="336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i w:val="0"/>
                <w:color w:val="000000"/>
                <w:kern w:val="0"/>
                <w:sz w:val="21"/>
                <w:szCs w:val="21"/>
              </w:rPr>
              <w:t>武汉市蔡甸区医疗保障局</w:t>
            </w:r>
          </w:p>
        </w:tc>
        <w:tc>
          <w:tcPr>
            <w:tcW w:w="252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项目实施单位</w:t>
            </w:r>
          </w:p>
        </w:tc>
        <w:tc>
          <w:tcPr>
            <w:tcW w:w="15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i w:val="0"/>
                <w:color w:val="000000"/>
                <w:kern w:val="0"/>
                <w:sz w:val="21"/>
                <w:szCs w:val="21"/>
              </w:rPr>
              <w:t>武汉市蔡甸区医疗保障局（本级）</w:t>
            </w: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预算执行情况（万元）</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资金来源</w:t>
            </w:r>
          </w:p>
        </w:tc>
        <w:tc>
          <w:tcPr>
            <w:tcW w:w="185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预算数（A）</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执行数（B）</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一般预算内拨款</w:t>
            </w:r>
          </w:p>
        </w:tc>
        <w:tc>
          <w:tcPr>
            <w:tcW w:w="1855" w:type="dxa"/>
            <w:gridSpan w:val="4"/>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left"/>
              <w:rPr>
                <w:rFonts w:hint="eastAsia" w:ascii="宋体" w:hAnsi="宋体" w:eastAsia="宋体" w:cs="宋体"/>
                <w:kern w:val="0"/>
                <w:sz w:val="21"/>
                <w:szCs w:val="21"/>
              </w:rPr>
            </w:pPr>
            <w:r>
              <w:rPr>
                <w:rFonts w:hint="eastAsia" w:ascii="仿宋" w:hAnsi="仿宋" w:eastAsia="仿宋" w:cs="楷体_GB2312"/>
                <w:b w:val="0"/>
                <w:bCs/>
                <w:kern w:val="0"/>
                <w:sz w:val="24"/>
                <w:szCs w:val="24"/>
                <w:lang w:val="en-US" w:eastAsia="zh-CN"/>
              </w:rPr>
              <w:t>21</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left"/>
              <w:rPr>
                <w:rFonts w:hint="eastAsia" w:ascii="宋体" w:hAnsi="宋体" w:eastAsia="宋体" w:cs="宋体"/>
                <w:kern w:val="0"/>
                <w:sz w:val="21"/>
                <w:szCs w:val="21"/>
              </w:rPr>
            </w:pPr>
            <w:r>
              <w:rPr>
                <w:rFonts w:hint="eastAsia" w:ascii="仿宋" w:hAnsi="仿宋" w:eastAsia="仿宋" w:cs="楷体_GB2312"/>
                <w:b w:val="0"/>
                <w:bCs/>
                <w:kern w:val="0"/>
                <w:sz w:val="24"/>
                <w:szCs w:val="24"/>
                <w:lang w:val="en-US" w:eastAsia="zh-CN"/>
              </w:rPr>
              <w:t>21</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left"/>
              <w:rPr>
                <w:rFonts w:hint="eastAsia" w:ascii="宋体" w:hAnsi="宋体" w:eastAsia="宋体" w:cs="宋体"/>
                <w:kern w:val="0"/>
                <w:sz w:val="21"/>
                <w:szCs w:val="21"/>
              </w:rPr>
            </w:pPr>
            <w:r>
              <w:rPr>
                <w:rFonts w:hint="eastAsia" w:ascii="仿宋" w:hAnsi="仿宋" w:eastAsia="仿宋" w:cs="楷体_GB2312"/>
                <w:b w:val="0"/>
                <w:bCs/>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85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年度绩效目标完成情况</w:t>
            </w:r>
          </w:p>
          <w:p>
            <w:pPr>
              <w:keepNext w:val="0"/>
              <w:keepLines w:val="0"/>
              <w:widowControl/>
              <w:suppressLineNumbers w:val="0"/>
              <w:snapToGrid w:val="0"/>
              <w:jc w:val="center"/>
              <w:rPr>
                <w:rFonts w:hint="eastAsia" w:ascii="宋体" w:hAnsi="宋体" w:eastAsia="宋体" w:cs="Times New Roman"/>
                <w:kern w:val="0"/>
                <w:sz w:val="24"/>
                <w:szCs w:val="24"/>
              </w:rPr>
            </w:pPr>
          </w:p>
        </w:tc>
        <w:tc>
          <w:tcPr>
            <w:tcW w:w="700"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一级指标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二级指标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三级指标</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年初目标值</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实际完成值</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产出指标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1"/>
                <w:szCs w:val="21"/>
                <w:lang w:val="en-US" w:eastAsia="zh-CN"/>
              </w:rPr>
              <w:t>数量</w:t>
            </w:r>
            <w:r>
              <w:rPr>
                <w:rFonts w:hint="eastAsia" w:ascii="仿宋_GB2312" w:hAnsi="宋体" w:eastAsia="仿宋_GB2312" w:cs="Arial"/>
                <w:color w:val="auto"/>
                <w:kern w:val="0"/>
                <w:sz w:val="21"/>
                <w:szCs w:val="21"/>
              </w:rPr>
              <w:t>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000000"/>
                <w:kern w:val="0"/>
                <w:sz w:val="21"/>
                <w:szCs w:val="21"/>
                <w:lang w:eastAsia="zh-CN"/>
              </w:rPr>
              <w:t>购买审计服务次数</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2次</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2次</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1"/>
                <w:szCs w:val="21"/>
                <w:lang w:val="en-US" w:eastAsia="zh-CN"/>
              </w:rPr>
              <w:t>数量</w:t>
            </w:r>
            <w:r>
              <w:rPr>
                <w:rFonts w:hint="eastAsia" w:ascii="仿宋_GB2312" w:hAnsi="宋体" w:eastAsia="仿宋_GB2312" w:cs="Arial"/>
                <w:color w:val="auto"/>
                <w:kern w:val="0"/>
                <w:sz w:val="21"/>
                <w:szCs w:val="21"/>
              </w:rPr>
              <w:t>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审计发现问题整改情况</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000000"/>
                <w:kern w:val="0"/>
                <w:sz w:val="21"/>
                <w:szCs w:val="21"/>
                <w:lang w:val="en-US" w:eastAsia="zh-CN"/>
              </w:rPr>
              <w:t>100%</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000000"/>
                <w:kern w:val="0"/>
                <w:sz w:val="21"/>
                <w:szCs w:val="21"/>
                <w:lang w:val="en-US" w:eastAsia="zh-CN"/>
              </w:rPr>
              <w:t>100%</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效益指标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1"/>
                <w:szCs w:val="21"/>
                <w:lang w:val="en-US" w:eastAsia="zh-CN"/>
              </w:rPr>
              <w:t>时效指标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hAnsi="宋体" w:eastAsia="仿宋_GB2312" w:cs="Arial"/>
                <w:color w:val="auto"/>
                <w:kern w:val="0"/>
                <w:sz w:val="21"/>
                <w:szCs w:val="21"/>
                <w:lang w:val="en-US" w:eastAsia="zh-CN"/>
              </w:rPr>
            </w:pPr>
            <w:r>
              <w:rPr>
                <w:rFonts w:hint="eastAsia" w:ascii="仿宋_GB2312" w:hAnsi="宋体" w:eastAsia="仿宋_GB2312" w:cs="Arial"/>
                <w:color w:val="auto"/>
                <w:kern w:val="0"/>
                <w:sz w:val="21"/>
                <w:szCs w:val="21"/>
                <w:lang w:val="en-US" w:eastAsia="zh-CN"/>
              </w:rPr>
              <w:t>公务检查价格违规行为情况</w:t>
            </w:r>
          </w:p>
          <w:p>
            <w:pPr>
              <w:widowControl/>
              <w:snapToGrid w:val="0"/>
              <w:ind w:left="0" w:leftChars="0" w:right="0" w:rightChars="0"/>
              <w:jc w:val="center"/>
              <w:rPr>
                <w:rFonts w:hint="eastAsia" w:ascii="宋体" w:hAnsi="宋体" w:eastAsia="宋体" w:cs="宋体"/>
                <w:kern w:val="0"/>
                <w:sz w:val="18"/>
                <w:szCs w:val="18"/>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000000"/>
                <w:kern w:val="0"/>
                <w:sz w:val="21"/>
                <w:szCs w:val="21"/>
                <w:lang w:val="en-US" w:eastAsia="zh-CN"/>
              </w:rPr>
              <w:t>100%</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000000"/>
                <w:kern w:val="0"/>
                <w:sz w:val="21"/>
                <w:szCs w:val="21"/>
                <w:lang w:val="en-US" w:eastAsia="zh-CN"/>
              </w:rPr>
              <w:t>100%</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bookmarkStart w:id="76" w:name="OLE_LINK57"/>
          </w:p>
        </w:tc>
        <w:tc>
          <w:tcPr>
            <w:tcW w:w="700" w:type="dxa"/>
            <w:vMerge w:val="continue"/>
            <w:tcBorders>
              <w:left w:val="nil"/>
              <w:right w:val="single" w:color="auto" w:sz="4" w:space="0"/>
            </w:tcBorders>
            <w:shd w:val="clear" w:color="auto" w:fill="auto"/>
            <w:vAlign w:val="center"/>
          </w:tcPr>
          <w:p>
            <w:pPr>
              <w:snapToGrid w:val="0"/>
              <w:jc w:val="center"/>
              <w:rPr>
                <w:rFonts w:hint="eastAsia" w:ascii="宋体" w:hAnsi="宋体" w:eastAsia="宋体" w:cs="宋体"/>
                <w:kern w:val="0"/>
                <w:sz w:val="24"/>
                <w:szCs w:val="24"/>
              </w:rPr>
            </w:pP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tabs>
                <w:tab w:val="left" w:pos="426"/>
              </w:tabs>
              <w:snapToGrid w:val="0"/>
              <w:ind w:left="0" w:leftChars="0" w:right="0" w:rightChars="0"/>
              <w:jc w:val="left"/>
              <w:rPr>
                <w:rFonts w:hint="eastAsia" w:ascii="宋体" w:hAnsi="宋体" w:eastAsia="宋体" w:cs="宋体"/>
                <w:i w:val="0"/>
                <w:color w:val="000000"/>
                <w:kern w:val="0"/>
                <w:sz w:val="21"/>
                <w:szCs w:val="21"/>
              </w:rPr>
            </w:pPr>
            <w:r>
              <w:rPr>
                <w:rFonts w:hint="eastAsia" w:ascii="仿宋_GB2312" w:hAnsi="宋体" w:eastAsia="仿宋_GB2312" w:cs="Arial"/>
                <w:color w:val="auto"/>
                <w:kern w:val="0"/>
                <w:sz w:val="21"/>
                <w:szCs w:val="21"/>
                <w:lang w:eastAsia="zh-CN"/>
              </w:rPr>
              <w:t>经济</w:t>
            </w:r>
            <w:r>
              <w:rPr>
                <w:rFonts w:hint="eastAsia" w:ascii="仿宋_GB2312" w:hAnsi="宋体" w:eastAsia="仿宋_GB2312" w:cs="Arial"/>
                <w:color w:val="auto"/>
                <w:kern w:val="0"/>
                <w:sz w:val="21"/>
                <w:szCs w:val="21"/>
              </w:rPr>
              <w:t>效益指标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i w:val="0"/>
                <w:color w:val="000000"/>
                <w:kern w:val="0"/>
                <w:sz w:val="21"/>
                <w:szCs w:val="21"/>
              </w:rPr>
            </w:pPr>
            <w:r>
              <w:rPr>
                <w:rFonts w:hint="eastAsia" w:ascii="仿宋_GB2312" w:hAnsi="宋体" w:eastAsia="仿宋_GB2312" w:cs="Arial"/>
                <w:color w:val="auto"/>
                <w:kern w:val="0"/>
                <w:sz w:val="21"/>
                <w:szCs w:val="21"/>
                <w:lang w:val="en-US" w:eastAsia="zh-CN"/>
              </w:rPr>
              <w:t>检查医疗机构次数</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i w:val="0"/>
                <w:color w:val="000000"/>
                <w:kern w:val="0"/>
                <w:sz w:val="21"/>
                <w:szCs w:val="21"/>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20次</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i w:val="0"/>
                <w:color w:val="000000"/>
                <w:kern w:val="0"/>
                <w:sz w:val="21"/>
                <w:szCs w:val="21"/>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20次</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1"/>
                <w:szCs w:val="21"/>
                <w:lang w:val="en-US" w:eastAsia="zh-CN"/>
              </w:rPr>
              <w:t>社会效益指标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基金使用保障</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rPr>
              <w:t>保障适度、略有结余</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rPr>
              <w:t>保障适度、略有结余</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bookmarkEnd w:id="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满意度指标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24"/>
                <w:szCs w:val="24"/>
              </w:rPr>
            </w:pPr>
            <w:r>
              <w:rPr>
                <w:rFonts w:hint="default" w:ascii="仿宋_GB2312" w:hAnsi="宋体" w:eastAsia="仿宋_GB2312" w:cs="Arial"/>
                <w:color w:val="auto"/>
                <w:kern w:val="0"/>
                <w:sz w:val="21"/>
                <w:szCs w:val="21"/>
                <w:lang w:val="en-US" w:eastAsia="zh-CN"/>
              </w:rPr>
              <w:t>服务对象满意度指标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000000"/>
                <w:kern w:val="0"/>
                <w:sz w:val="21"/>
                <w:szCs w:val="21"/>
              </w:rPr>
              <w:t>受众调查问卷满意度比率</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 w:val="24"/>
                <w:szCs w:val="24"/>
              </w:rPr>
            </w:pPr>
            <w:r>
              <w:rPr>
                <w:rFonts w:hint="eastAsia" w:ascii="仿宋_GB2312" w:hAnsi="宋体" w:eastAsia="仿宋_GB2312" w:cs="Arial"/>
                <w:color w:val="auto"/>
                <w:kern w:val="0"/>
                <w:sz w:val="21"/>
                <w:szCs w:val="21"/>
                <w:lang w:val="en-US" w:eastAsia="zh-CN"/>
              </w:rPr>
              <w:t>90%。</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 w:val="24"/>
                <w:szCs w:val="24"/>
              </w:rPr>
            </w:pPr>
            <w:r>
              <w:rPr>
                <w:rFonts w:hint="eastAsia" w:ascii="仿宋_GB2312" w:hAnsi="宋体" w:eastAsia="仿宋_GB2312" w:cs="Arial"/>
                <w:color w:val="auto"/>
                <w:kern w:val="0"/>
                <w:sz w:val="21"/>
                <w:szCs w:val="21"/>
                <w:lang w:val="en-US" w:eastAsia="zh-CN"/>
              </w:rPr>
              <w:t>90%。</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bl>
    <w:p>
      <w:pPr>
        <w:keepNext w:val="0"/>
        <w:keepLines w:val="0"/>
        <w:widowControl/>
        <w:suppressLineNumbers w:val="0"/>
        <w:spacing w:line="400" w:lineRule="exact"/>
        <w:rPr>
          <w:rFonts w:hint="eastAsia" w:ascii="宋体" w:hAnsi="宋体" w:eastAsia="宋体" w:cs="Times New Roman"/>
          <w:kern w:val="0"/>
          <w:sz w:val="24"/>
          <w:szCs w:val="24"/>
        </w:rPr>
      </w:pPr>
      <w:r>
        <w:rPr>
          <w:rFonts w:hint="eastAsia" w:ascii="宋体" w:hAnsi="宋体" w:eastAsia="宋体" w:cs="宋体"/>
          <w:kern w:val="0"/>
          <w:sz w:val="24"/>
          <w:szCs w:val="24"/>
        </w:rPr>
        <w:t>备注：</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1.预算执行情况口径：预算数为调整后项目预算总额（包括上年结余结转），执行数为项目实际完成支出。</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2.定性指标分档原则：分为达成预期指标、部分达成预期指标并具有一定效果、未达成预期指标且效果较差三档。选择部分达成或未达成的，必须说明原因和改进措施。</w:t>
      </w:r>
    </w:p>
    <w:p>
      <w:pPr>
        <w:keepNext w:val="0"/>
        <w:keepLines w:val="0"/>
        <w:widowControl/>
        <w:suppressLineNumbers w:val="0"/>
        <w:spacing w:line="400" w:lineRule="exact"/>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3.基于经济性和必要性等因素考虑，满意度指标难以统计的，在自评时可不作为必评指标。</w:t>
      </w:r>
    </w:p>
    <w:p>
      <w:pPr>
        <w:keepNext w:val="0"/>
        <w:keepLines w:val="0"/>
        <w:widowControl/>
        <w:suppressLineNumbers w:val="0"/>
        <w:spacing w:line="400" w:lineRule="exact"/>
        <w:ind w:left="0" w:firstLine="480" w:firstLineChars="200"/>
        <w:rPr>
          <w:rFonts w:hint="eastAsia" w:ascii="宋体" w:hAnsi="宋体" w:eastAsia="宋体" w:cs="宋体"/>
          <w:kern w:val="0"/>
          <w:sz w:val="24"/>
          <w:szCs w:val="24"/>
        </w:rPr>
      </w:pPr>
    </w:p>
    <w:p>
      <w:pPr>
        <w:keepNext w:val="0"/>
        <w:keepLines w:val="0"/>
        <w:widowControl/>
        <w:suppressLineNumbers w:val="0"/>
        <w:spacing w:before="0" w:beforeAutospacing="1" w:after="0" w:afterAutospacing="1"/>
        <w:jc w:val="both"/>
        <w:rPr>
          <w:rFonts w:hint="eastAsia" w:ascii="黑体" w:eastAsia="黑体" w:cs="黑体"/>
          <w:b w:val="0"/>
          <w:kern w:val="0"/>
          <w:sz w:val="32"/>
          <w:szCs w:val="32"/>
          <w:lang w:val="en-US" w:eastAsia="zh-CN"/>
        </w:rPr>
      </w:pPr>
      <w:bookmarkStart w:id="77" w:name="OLE_LINK81"/>
      <w:r>
        <w:rPr>
          <w:rFonts w:hint="eastAsia" w:ascii="黑体" w:eastAsia="黑体" w:cs="黑体"/>
          <w:b w:val="0"/>
          <w:kern w:val="0"/>
          <w:sz w:val="32"/>
          <w:szCs w:val="32"/>
          <w:lang w:val="en-US" w:eastAsia="zh-CN"/>
        </w:rPr>
        <w:t>四、2023</w:t>
      </w:r>
      <w:bookmarkEnd w:id="77"/>
      <w:r>
        <w:rPr>
          <w:rFonts w:hint="eastAsia" w:ascii="黑体" w:eastAsia="黑体" w:cs="黑体"/>
          <w:b w:val="0"/>
          <w:kern w:val="0"/>
          <w:sz w:val="32"/>
          <w:szCs w:val="32"/>
          <w:lang w:val="en-US" w:eastAsia="zh-CN"/>
        </w:rPr>
        <w:t>年政府购买服务项目</w:t>
      </w:r>
      <w:bookmarkStart w:id="78" w:name="OLE_LINK76"/>
      <w:r>
        <w:rPr>
          <w:rFonts w:hint="eastAsia" w:ascii="黑体" w:eastAsia="黑体" w:cs="黑体"/>
          <w:b w:val="0"/>
          <w:kern w:val="0"/>
          <w:sz w:val="32"/>
          <w:szCs w:val="32"/>
          <w:lang w:val="en-US" w:eastAsia="zh-CN"/>
        </w:rPr>
        <w:t>绩效自</w:t>
      </w:r>
      <w:bookmarkEnd w:id="78"/>
      <w:r>
        <w:rPr>
          <w:rFonts w:hint="eastAsia" w:ascii="黑体" w:eastAsia="黑体" w:cs="黑体"/>
          <w:b w:val="0"/>
          <w:kern w:val="0"/>
          <w:sz w:val="32"/>
          <w:szCs w:val="32"/>
          <w:lang w:val="en-US" w:eastAsia="zh-CN"/>
        </w:rPr>
        <w:t>评表</w:t>
      </w:r>
    </w:p>
    <w:p>
      <w:pPr>
        <w:keepNext w:val="0"/>
        <w:keepLines w:val="0"/>
        <w:widowControl/>
        <w:suppressLineNumbers w:val="0"/>
        <w:jc w:val="left"/>
        <w:rPr>
          <w:rFonts w:hint="default" w:ascii="宋体" w:hAnsi="宋体" w:eastAsia="宋体" w:cs="宋体"/>
          <w:b/>
          <w:kern w:val="0"/>
          <w:sz w:val="24"/>
          <w:szCs w:val="24"/>
          <w:lang w:val="en-US" w:eastAsia="zh-CN"/>
        </w:rPr>
      </w:pPr>
      <w:r>
        <w:rPr>
          <w:rFonts w:hint="eastAsia" w:ascii="宋体" w:hAnsi="宋体" w:eastAsia="宋体" w:cs="宋体"/>
          <w:b/>
          <w:kern w:val="0"/>
          <w:sz w:val="24"/>
          <w:szCs w:val="24"/>
        </w:rPr>
        <w:t xml:space="preserve">单位名称： </w:t>
      </w:r>
      <w:r>
        <w:rPr>
          <w:rFonts w:hint="eastAsia" w:ascii="宋体" w:hAnsi="宋体" w:eastAsia="宋体" w:cs="宋体"/>
          <w:i w:val="0"/>
          <w:color w:val="000000"/>
          <w:kern w:val="0"/>
          <w:sz w:val="21"/>
          <w:szCs w:val="21"/>
        </w:rPr>
        <w:t xml:space="preserve">武汉市蔡甸区医疗保障局  </w:t>
      </w:r>
      <w:r>
        <w:rPr>
          <w:rFonts w:hint="eastAsia" w:ascii="宋体" w:hAnsi="宋体" w:eastAsia="宋体" w:cs="宋体"/>
          <w:b/>
          <w:kern w:val="0"/>
          <w:sz w:val="24"/>
          <w:szCs w:val="24"/>
        </w:rPr>
        <w:t xml:space="preserve">    填报日期：</w:t>
      </w:r>
      <w:r>
        <w:rPr>
          <w:rFonts w:hint="eastAsia" w:ascii="宋体" w:hAnsi="宋体" w:eastAsia="宋体" w:cs="宋体"/>
          <w:i w:val="0"/>
          <w:color w:val="000000"/>
          <w:kern w:val="0"/>
          <w:sz w:val="21"/>
          <w:szCs w:val="21"/>
        </w:rPr>
        <w:t>202</w:t>
      </w:r>
      <w:r>
        <w:rPr>
          <w:rFonts w:hint="eastAsia" w:cs="宋体"/>
          <w:i w:val="0"/>
          <w:color w:val="000000"/>
          <w:kern w:val="0"/>
          <w:sz w:val="21"/>
          <w:szCs w:val="21"/>
          <w:lang w:val="en-US" w:eastAsia="zh-CN"/>
        </w:rPr>
        <w:t>4</w:t>
      </w:r>
      <w:r>
        <w:rPr>
          <w:rFonts w:hint="eastAsia" w:ascii="宋体" w:hAnsi="宋体" w:eastAsia="宋体" w:cs="宋体"/>
          <w:i w:val="0"/>
          <w:color w:val="000000"/>
          <w:kern w:val="0"/>
          <w:sz w:val="21"/>
          <w:szCs w:val="21"/>
        </w:rPr>
        <w:t>/</w:t>
      </w:r>
      <w:r>
        <w:rPr>
          <w:rFonts w:hint="eastAsia" w:cs="宋体"/>
          <w:i w:val="0"/>
          <w:color w:val="000000"/>
          <w:kern w:val="0"/>
          <w:sz w:val="21"/>
          <w:szCs w:val="21"/>
          <w:lang w:val="en-US" w:eastAsia="zh-CN"/>
        </w:rPr>
        <w:t>11</w:t>
      </w:r>
      <w:r>
        <w:rPr>
          <w:rFonts w:hint="eastAsia" w:ascii="宋体" w:hAnsi="宋体" w:eastAsia="宋体" w:cs="宋体"/>
          <w:i w:val="0"/>
          <w:color w:val="000000"/>
          <w:kern w:val="0"/>
          <w:sz w:val="21"/>
          <w:szCs w:val="21"/>
        </w:rPr>
        <w:t>/</w:t>
      </w:r>
      <w:r>
        <w:rPr>
          <w:rFonts w:hint="eastAsia" w:cs="宋体"/>
          <w:i w:val="0"/>
          <w:color w:val="000000"/>
          <w:kern w:val="0"/>
          <w:sz w:val="21"/>
          <w:szCs w:val="21"/>
          <w:lang w:val="en-US" w:eastAsia="zh-CN"/>
        </w:rPr>
        <w:t>14</w:t>
      </w:r>
    </w:p>
    <w:tbl>
      <w:tblPr>
        <w:tblStyle w:val="1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8"/>
        <w:gridCol w:w="700"/>
        <w:gridCol w:w="1122"/>
        <w:gridCol w:w="733"/>
        <w:gridCol w:w="412"/>
        <w:gridCol w:w="1097"/>
        <w:gridCol w:w="179"/>
        <w:gridCol w:w="167"/>
        <w:gridCol w:w="1108"/>
        <w:gridCol w:w="747"/>
        <w:gridCol w:w="31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项目名称</w:t>
            </w:r>
          </w:p>
        </w:tc>
        <w:tc>
          <w:tcPr>
            <w:tcW w:w="7420"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b w:val="0"/>
                <w:color w:val="000000"/>
                <w:kern w:val="0"/>
                <w:sz w:val="24"/>
                <w:szCs w:val="24"/>
              </w:rPr>
              <w:t>202</w:t>
            </w:r>
            <w:r>
              <w:rPr>
                <w:rFonts w:hint="eastAsia" w:cs="宋体"/>
                <w:b w:val="0"/>
                <w:color w:val="000000"/>
                <w:kern w:val="0"/>
                <w:sz w:val="24"/>
                <w:szCs w:val="24"/>
                <w:lang w:val="en-US" w:eastAsia="zh-CN"/>
              </w:rPr>
              <w:t>3</w:t>
            </w:r>
            <w:r>
              <w:rPr>
                <w:rFonts w:hint="eastAsia" w:ascii="宋体" w:hAnsi="宋体" w:eastAsia="宋体" w:cs="宋体"/>
                <w:b w:val="0"/>
                <w:color w:val="000000"/>
                <w:kern w:val="0"/>
                <w:sz w:val="24"/>
                <w:szCs w:val="24"/>
              </w:rPr>
              <w:t>年</w:t>
            </w:r>
            <w:bookmarkStart w:id="79" w:name="OLE_LINK74"/>
            <w:r>
              <w:rPr>
                <w:rFonts w:hint="eastAsia" w:ascii="宋体" w:hAnsi="宋体" w:eastAsia="宋体" w:cs="仿宋_GB2312"/>
                <w:kern w:val="0"/>
                <w:lang w:val="en-US" w:eastAsia="zh-CN"/>
              </w:rPr>
              <w:t>政府购</w:t>
            </w:r>
            <w:bookmarkStart w:id="80" w:name="OLE_LINK75"/>
            <w:r>
              <w:rPr>
                <w:rFonts w:hint="eastAsia" w:ascii="宋体" w:hAnsi="宋体" w:eastAsia="宋体" w:cs="仿宋_GB2312"/>
                <w:kern w:val="0"/>
                <w:lang w:val="en-US" w:eastAsia="zh-CN"/>
              </w:rPr>
              <w:t>买服</w:t>
            </w:r>
            <w:bookmarkEnd w:id="80"/>
            <w:r>
              <w:rPr>
                <w:rFonts w:hint="eastAsia" w:ascii="宋体" w:hAnsi="宋体" w:eastAsia="宋体" w:cs="仿宋_GB2312"/>
                <w:kern w:val="0"/>
                <w:lang w:val="en-US" w:eastAsia="zh-CN"/>
              </w:rPr>
              <w:t>务</w:t>
            </w:r>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主管部门</w:t>
            </w:r>
          </w:p>
        </w:tc>
        <w:tc>
          <w:tcPr>
            <w:tcW w:w="336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i w:val="0"/>
                <w:color w:val="000000"/>
                <w:kern w:val="0"/>
                <w:sz w:val="21"/>
                <w:szCs w:val="21"/>
              </w:rPr>
              <w:t>武汉市蔡甸区医疗保障局</w:t>
            </w:r>
          </w:p>
        </w:tc>
        <w:tc>
          <w:tcPr>
            <w:tcW w:w="252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项目实施单位</w:t>
            </w:r>
          </w:p>
        </w:tc>
        <w:tc>
          <w:tcPr>
            <w:tcW w:w="15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i w:val="0"/>
                <w:color w:val="000000"/>
                <w:kern w:val="0"/>
                <w:sz w:val="21"/>
                <w:szCs w:val="21"/>
              </w:rPr>
              <w:t>武汉市蔡甸区医疗保障局（本级）</w:t>
            </w: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预算执行情况（万元）</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资金来源</w:t>
            </w:r>
          </w:p>
        </w:tc>
        <w:tc>
          <w:tcPr>
            <w:tcW w:w="185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预算数（A）</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执行数（B）</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left"/>
              <w:rPr>
                <w:rFonts w:hint="eastAsia" w:ascii="宋体" w:hAnsi="宋体" w:eastAsia="宋体" w:cs="宋体"/>
                <w:kern w:val="0"/>
                <w:sz w:val="21"/>
                <w:szCs w:val="21"/>
              </w:rPr>
            </w:pPr>
            <w:r>
              <w:rPr>
                <w:rFonts w:hint="eastAsia" w:ascii="仿宋" w:hAnsi="仿宋" w:eastAsia="仿宋" w:cs="楷体_GB2312"/>
                <w:b w:val="0"/>
                <w:bCs/>
                <w:kern w:val="0"/>
                <w:sz w:val="24"/>
                <w:szCs w:val="24"/>
                <w:lang w:val="en-US" w:eastAsia="zh-CN"/>
              </w:rPr>
              <w:t>一般预算内拨款</w:t>
            </w:r>
          </w:p>
        </w:tc>
        <w:tc>
          <w:tcPr>
            <w:tcW w:w="1855" w:type="dxa"/>
            <w:gridSpan w:val="4"/>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left"/>
              <w:rPr>
                <w:rFonts w:hint="eastAsia" w:ascii="宋体" w:hAnsi="宋体" w:eastAsia="宋体" w:cs="宋体"/>
                <w:kern w:val="0"/>
                <w:sz w:val="21"/>
                <w:szCs w:val="21"/>
              </w:rPr>
            </w:pPr>
            <w:r>
              <w:rPr>
                <w:rFonts w:hint="eastAsia" w:ascii="仿宋" w:hAnsi="仿宋" w:eastAsia="仿宋" w:cs="楷体_GB2312"/>
                <w:b w:val="0"/>
                <w:bCs/>
                <w:kern w:val="0"/>
                <w:sz w:val="24"/>
                <w:szCs w:val="24"/>
                <w:lang w:val="en-US" w:eastAsia="zh-CN"/>
              </w:rPr>
              <w:t>86</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left"/>
              <w:rPr>
                <w:rFonts w:hint="eastAsia" w:ascii="宋体" w:hAnsi="宋体" w:eastAsia="宋体" w:cs="宋体"/>
                <w:kern w:val="0"/>
                <w:sz w:val="21"/>
                <w:szCs w:val="21"/>
              </w:rPr>
            </w:pPr>
            <w:r>
              <w:rPr>
                <w:rFonts w:hint="eastAsia" w:ascii="仿宋" w:hAnsi="仿宋" w:eastAsia="仿宋" w:cs="楷体_GB2312"/>
                <w:b w:val="0"/>
                <w:bCs/>
                <w:kern w:val="0"/>
                <w:sz w:val="24"/>
                <w:szCs w:val="24"/>
                <w:lang w:val="en-US" w:eastAsia="zh-CN"/>
              </w:rPr>
              <w:t>86</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left"/>
              <w:rPr>
                <w:rFonts w:hint="eastAsia" w:ascii="宋体" w:hAnsi="宋体" w:eastAsia="宋体" w:cs="宋体"/>
                <w:kern w:val="0"/>
                <w:sz w:val="21"/>
                <w:szCs w:val="21"/>
              </w:rPr>
            </w:pPr>
            <w:r>
              <w:rPr>
                <w:rFonts w:hint="eastAsia" w:ascii="仿宋" w:hAnsi="仿宋" w:eastAsia="仿宋" w:cs="楷体_GB2312"/>
                <w:b w:val="0"/>
                <w:bCs/>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85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年度绩效目标完成情况</w:t>
            </w:r>
          </w:p>
          <w:p>
            <w:pPr>
              <w:keepNext w:val="0"/>
              <w:keepLines w:val="0"/>
              <w:widowControl/>
              <w:suppressLineNumbers w:val="0"/>
              <w:snapToGrid w:val="0"/>
              <w:jc w:val="center"/>
              <w:rPr>
                <w:rFonts w:hint="eastAsia" w:ascii="宋体" w:hAnsi="宋体" w:eastAsia="宋体" w:cs="Times New Roman"/>
                <w:kern w:val="0"/>
                <w:sz w:val="24"/>
                <w:szCs w:val="24"/>
              </w:rPr>
            </w:pPr>
          </w:p>
        </w:tc>
        <w:tc>
          <w:tcPr>
            <w:tcW w:w="700"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一级指标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二级指标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三级指标</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年初目标值</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实际完成值</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产出指标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2"/>
                <w:szCs w:val="22"/>
                <w:lang w:val="en-US" w:eastAsia="zh-CN"/>
              </w:rPr>
              <w:t>质量</w:t>
            </w:r>
            <w:r>
              <w:rPr>
                <w:rFonts w:hint="eastAsia" w:ascii="仿宋_GB2312" w:hAnsi="宋体" w:eastAsia="仿宋_GB2312" w:cs="Arial"/>
                <w:color w:val="auto"/>
                <w:kern w:val="0"/>
                <w:sz w:val="22"/>
                <w:szCs w:val="22"/>
              </w:rPr>
              <w:t>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2"/>
                <w:szCs w:val="22"/>
                <w:lang w:val="en-US" w:eastAsia="zh-CN"/>
              </w:rPr>
              <w:t>保证单位工作正常运转</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2"/>
                <w:szCs w:val="22"/>
                <w:lang w:val="en-US" w:eastAsia="zh-CN"/>
              </w:rPr>
              <w:t>各项工作有序开展</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2"/>
                <w:szCs w:val="22"/>
                <w:lang w:val="en-US" w:eastAsia="zh-CN"/>
              </w:rPr>
              <w:t>各项工作有序开展</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both"/>
              <w:rPr>
                <w:rFonts w:hint="eastAsia" w:ascii="宋体" w:hAnsi="宋体" w:eastAsia="宋体" w:cs="宋体"/>
                <w:kern w:val="0"/>
                <w:sz w:val="24"/>
                <w:szCs w:val="24"/>
              </w:rPr>
            </w:pPr>
            <w:r>
              <w:rPr>
                <w:rFonts w:hint="eastAsia" w:ascii="宋体" w:hAnsi="宋体" w:eastAsia="宋体" w:cs="宋体"/>
                <w:kern w:val="0"/>
                <w:sz w:val="24"/>
                <w:szCs w:val="24"/>
              </w:rPr>
              <w:t>成本指标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18"/>
                <w:szCs w:val="18"/>
              </w:rPr>
            </w:pPr>
            <w:r>
              <w:rPr>
                <w:rFonts w:hint="eastAsia" w:ascii="宋体" w:hAnsi="宋体" w:eastAsia="宋体" w:cs="宋体"/>
                <w:i w:val="0"/>
                <w:color w:val="000000"/>
                <w:kern w:val="0"/>
                <w:sz w:val="21"/>
                <w:szCs w:val="21"/>
              </w:rPr>
              <w:t>预算执行率偏离度绝对值</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firstLine="210" w:firstLineChars="100"/>
              <w:jc w:val="left"/>
              <w:rPr>
                <w:rFonts w:hint="eastAsia" w:ascii="宋体" w:hAnsi="宋体" w:eastAsia="宋体" w:cs="宋体"/>
                <w:kern w:val="0"/>
                <w:sz w:val="18"/>
                <w:szCs w:val="18"/>
              </w:rPr>
            </w:pPr>
            <w:r>
              <w:rPr>
                <w:rFonts w:hint="eastAsia" w:ascii="宋体" w:hAnsi="宋体" w:eastAsia="宋体" w:cs="宋体"/>
                <w:i w:val="0"/>
                <w:color w:val="000000"/>
                <w:kern w:val="0"/>
                <w:sz w:val="21"/>
                <w:szCs w:val="21"/>
              </w:rPr>
              <w:t>≤10%</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18"/>
                <w:szCs w:val="18"/>
              </w:rPr>
            </w:pPr>
            <w:r>
              <w:rPr>
                <w:rFonts w:hint="eastAsia" w:ascii="宋体" w:hAnsi="宋体" w:eastAsia="宋体" w:cs="宋体"/>
                <w:i w:val="0"/>
                <w:color w:val="000000"/>
                <w:kern w:val="0"/>
                <w:sz w:val="21"/>
                <w:szCs w:val="21"/>
              </w:rPr>
              <w:t>≤10%</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0" w:type="dxa"/>
            <w:tcBorders>
              <w:top w:val="nil"/>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效益指标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2"/>
                <w:szCs w:val="22"/>
                <w:lang w:val="en-US" w:eastAsia="zh-CN"/>
              </w:rPr>
              <w:t>社会效益指标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hAnsi="宋体" w:eastAsia="仿宋_GB2312" w:cs="Arial"/>
                <w:color w:val="auto"/>
                <w:kern w:val="0"/>
                <w:sz w:val="22"/>
                <w:szCs w:val="22"/>
                <w:lang w:val="en-US" w:eastAsia="zh-CN"/>
              </w:rPr>
            </w:pPr>
            <w:r>
              <w:rPr>
                <w:rFonts w:hint="eastAsia" w:ascii="仿宋_GB2312" w:hAnsi="宋体" w:eastAsia="仿宋_GB2312" w:cs="Arial"/>
                <w:color w:val="auto"/>
                <w:kern w:val="0"/>
                <w:sz w:val="22"/>
                <w:szCs w:val="22"/>
                <w:lang w:val="en-US" w:eastAsia="zh-CN"/>
              </w:rPr>
              <w:t>机关后勤管理情况</w:t>
            </w:r>
          </w:p>
          <w:p>
            <w:pPr>
              <w:widowControl/>
              <w:snapToGrid w:val="0"/>
              <w:ind w:left="0" w:leftChars="0" w:right="0" w:rightChars="0"/>
              <w:jc w:val="center"/>
              <w:rPr>
                <w:rFonts w:hint="eastAsia" w:ascii="宋体" w:hAnsi="宋体" w:eastAsia="宋体" w:cs="宋体"/>
                <w:kern w:val="0"/>
                <w:sz w:val="18"/>
                <w:szCs w:val="18"/>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2"/>
                <w:szCs w:val="22"/>
                <w:lang w:val="en-US" w:eastAsia="zh-CN"/>
              </w:rPr>
              <w:t>得到保障</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2"/>
                <w:szCs w:val="22"/>
                <w:lang w:val="en-US" w:eastAsia="zh-CN"/>
              </w:rPr>
              <w:t>得到保障</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满意度指标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24"/>
                <w:szCs w:val="24"/>
              </w:rPr>
            </w:pPr>
            <w:r>
              <w:rPr>
                <w:rFonts w:hint="default" w:ascii="仿宋_GB2312" w:hAnsi="宋体" w:eastAsia="仿宋_GB2312" w:cs="Arial"/>
                <w:color w:val="auto"/>
                <w:kern w:val="0"/>
                <w:sz w:val="22"/>
                <w:szCs w:val="22"/>
                <w:lang w:val="en-US" w:eastAsia="zh-CN"/>
              </w:rPr>
              <w:t>服务对象满意度指标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 w:val="24"/>
                <w:szCs w:val="24"/>
              </w:rPr>
            </w:pPr>
            <w:r>
              <w:rPr>
                <w:rFonts w:hint="eastAsia" w:ascii="仿宋_GB2312" w:hAnsi="宋体" w:eastAsia="仿宋_GB2312" w:cs="Arial"/>
                <w:color w:val="auto"/>
                <w:kern w:val="0"/>
                <w:sz w:val="22"/>
                <w:szCs w:val="22"/>
                <w:lang w:val="en-US" w:eastAsia="zh-CN"/>
              </w:rPr>
              <w:t>群众满意度（窗口）</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 w:val="24"/>
                <w:szCs w:val="24"/>
              </w:rPr>
            </w:pPr>
            <w:r>
              <w:rPr>
                <w:rFonts w:hint="eastAsia" w:ascii="仿宋_GB2312" w:hAnsi="宋体" w:eastAsia="仿宋_GB2312" w:cs="Arial"/>
                <w:color w:val="auto"/>
                <w:kern w:val="0"/>
                <w:sz w:val="22"/>
                <w:szCs w:val="22"/>
                <w:lang w:val="en-US" w:eastAsia="zh-CN"/>
              </w:rPr>
              <w:t>90%。</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 w:val="24"/>
                <w:szCs w:val="24"/>
              </w:rPr>
            </w:pPr>
            <w:r>
              <w:rPr>
                <w:rFonts w:hint="eastAsia" w:ascii="仿宋_GB2312" w:hAnsi="宋体" w:eastAsia="仿宋_GB2312" w:cs="Arial"/>
                <w:color w:val="auto"/>
                <w:kern w:val="0"/>
                <w:sz w:val="22"/>
                <w:szCs w:val="22"/>
                <w:lang w:val="en-US" w:eastAsia="zh-CN"/>
              </w:rPr>
              <w:t>90%。</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24"/>
                <w:szCs w:val="24"/>
              </w:rPr>
            </w:pPr>
            <w:r>
              <w:rPr>
                <w:rFonts w:hint="default" w:ascii="仿宋_GB2312" w:hAnsi="宋体" w:eastAsia="仿宋_GB2312" w:cs="Arial"/>
                <w:color w:val="auto"/>
                <w:kern w:val="0"/>
                <w:sz w:val="22"/>
                <w:szCs w:val="22"/>
                <w:lang w:val="en-US" w:eastAsia="zh-CN"/>
              </w:rPr>
              <w:t>服务对象满意度指标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2"/>
                <w:szCs w:val="22"/>
                <w:lang w:val="en-US" w:eastAsia="zh-CN"/>
              </w:rPr>
              <w:t>机关干部员工满意度（后勤）</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2"/>
                <w:szCs w:val="22"/>
                <w:lang w:val="en-US" w:eastAsia="zh-CN"/>
              </w:rPr>
              <w:t>≥90%</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2"/>
                <w:szCs w:val="22"/>
                <w:lang w:val="en-US" w:eastAsia="zh-CN"/>
              </w:rPr>
              <w:t>≥90%</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bl>
    <w:p>
      <w:pPr>
        <w:keepNext w:val="0"/>
        <w:keepLines w:val="0"/>
        <w:widowControl/>
        <w:suppressLineNumbers w:val="0"/>
        <w:spacing w:line="400" w:lineRule="exact"/>
        <w:rPr>
          <w:rFonts w:hint="eastAsia" w:ascii="宋体" w:hAnsi="宋体" w:eastAsia="宋体" w:cs="Times New Roman"/>
          <w:kern w:val="0"/>
          <w:sz w:val="24"/>
          <w:szCs w:val="24"/>
        </w:rPr>
      </w:pPr>
      <w:r>
        <w:rPr>
          <w:rFonts w:hint="eastAsia" w:ascii="宋体" w:hAnsi="宋体" w:eastAsia="宋体" w:cs="宋体"/>
          <w:kern w:val="0"/>
          <w:sz w:val="24"/>
          <w:szCs w:val="24"/>
        </w:rPr>
        <w:t>备注：</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1.预算执行情况口径：预算数为调整后项目预算总额（包括上年结余结转），执行数为项目实际完成支出。</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2.定性指标分档原则：分为达成预期指标、部分达成预期指标并具有一定效果、未达成预期指标且效果较差三档。选择部分达成或未达成的，必须说明原因和改进措施。</w:t>
      </w:r>
    </w:p>
    <w:p>
      <w:pPr>
        <w:keepNext w:val="0"/>
        <w:keepLines w:val="0"/>
        <w:widowControl/>
        <w:suppressLineNumbers w:val="0"/>
        <w:spacing w:line="400" w:lineRule="exact"/>
        <w:ind w:left="0" w:firstLine="480" w:firstLineChars="200"/>
        <w:rPr>
          <w:rFonts w:hint="eastAsia" w:ascii="黑体" w:hAnsi="宋体" w:eastAsia="黑体" w:cs="黑体"/>
          <w:color w:val="0000FF"/>
          <w:kern w:val="2"/>
          <w:sz w:val="32"/>
          <w:szCs w:val="32"/>
        </w:rPr>
      </w:pPr>
      <w:r>
        <w:rPr>
          <w:rFonts w:hint="eastAsia" w:ascii="宋体" w:hAnsi="宋体" w:eastAsia="宋体" w:cs="宋体"/>
          <w:kern w:val="0"/>
          <w:sz w:val="24"/>
          <w:szCs w:val="24"/>
        </w:rPr>
        <w:t>3.基于经济性和必要性等因素考虑，满意度指标难以统计的，在自评时可不作为必评指标。</w:t>
      </w:r>
      <w:r>
        <w:rPr>
          <w:rFonts w:hint="eastAsia" w:ascii="黑体" w:hAnsi="宋体" w:eastAsia="黑体" w:cs="黑体"/>
          <w:color w:val="0000FF"/>
          <w:kern w:val="2"/>
          <w:sz w:val="32"/>
          <w:szCs w:val="32"/>
        </w:rPr>
        <w:t xml:space="preserve"> </w:t>
      </w:r>
    </w:p>
    <w:sectPr>
      <w:pgSz w:w="11915" w:h="16840"/>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F8D934"/>
    <w:multiLevelType w:val="multilevel"/>
    <w:tmpl w:val="C0F8D934"/>
    <w:lvl w:ilvl="0" w:tentative="0">
      <w:start w:val="3"/>
      <w:numFmt w:val="chineseCounting"/>
      <w:lvlText w:val="(%1)"/>
      <w:lvlJc w:val="left"/>
      <w:pPr>
        <w:tabs>
          <w:tab w:val="left" w:pos="312"/>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CD441BEC"/>
    <w:multiLevelType w:val="multilevel"/>
    <w:tmpl w:val="CD441BEC"/>
    <w:lvl w:ilvl="0" w:tentative="0">
      <w:start w:val="6"/>
      <w:numFmt w:val="chineseCounting"/>
      <w:suff w:val="space"/>
      <w:lvlText w:val="第%1部分"/>
      <w:lvlJc w:val="left"/>
      <w:pPr>
        <w:tabs>
          <w:tab w:val="left" w:pos="0"/>
        </w:tabs>
        <w:ind w:left="2832"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148F09C1"/>
    <w:multiLevelType w:val="multilevel"/>
    <w:tmpl w:val="148F09C1"/>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0C70"/>
    <w:rsid w:val="03531F4E"/>
    <w:rsid w:val="04B1175C"/>
    <w:rsid w:val="0CEE1644"/>
    <w:rsid w:val="1C487127"/>
    <w:rsid w:val="24B5458A"/>
    <w:rsid w:val="24FB6600"/>
    <w:rsid w:val="260C4B01"/>
    <w:rsid w:val="26E932E1"/>
    <w:rsid w:val="2B373A45"/>
    <w:rsid w:val="32C44294"/>
    <w:rsid w:val="365948BE"/>
    <w:rsid w:val="374B3A6D"/>
    <w:rsid w:val="3D605EC2"/>
    <w:rsid w:val="485A47F0"/>
    <w:rsid w:val="4908045F"/>
    <w:rsid w:val="565E3F61"/>
    <w:rsid w:val="57B93C61"/>
    <w:rsid w:val="586B2FE0"/>
    <w:rsid w:val="58F41B80"/>
    <w:rsid w:val="5A447F33"/>
    <w:rsid w:val="5A995D48"/>
    <w:rsid w:val="5AF644F6"/>
    <w:rsid w:val="5C61652E"/>
    <w:rsid w:val="60487AAE"/>
    <w:rsid w:val="64C453C9"/>
    <w:rsid w:val="68562EC8"/>
    <w:rsid w:val="6CED54E1"/>
    <w:rsid w:val="6FF911E8"/>
    <w:rsid w:val="71E32DB8"/>
    <w:rsid w:val="731316D7"/>
    <w:rsid w:val="78213FAC"/>
    <w:rsid w:val="7BBC76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0" w:semiHidden="0" w:name="page number"/>
    <w:lsdException w:unhideWhenUsed="0" w:uiPriority="99" w:semiHidden="0" w:name="endnote reference"/>
    <w:lsdException w:unhideWhenUsed="0" w:uiPriority="99" w:semiHidden="0" w:name="endnote text"/>
    <w:lsdException w:qFormat="1" w:unhideWhenUsed="0" w:uiPriority="0"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qFormat="1" w:uiPriority="99" w:name="Default Paragraph Font"/>
    <w:lsdException w:unhideWhenUsed="0" w:uiPriority="99" w:semiHidden="0" w:name="Body Text"/>
    <w:lsdException w:qFormat="1"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qFormat="1"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15"/>
      <w:szCs w:val="15"/>
      <w:lang w:val="en-US" w:eastAsia="zh-CN" w:bidi="ar"/>
    </w:rPr>
  </w:style>
  <w:style w:type="character" w:default="1" w:styleId="17">
    <w:name w:val="Default Paragraph Font"/>
    <w:semiHidden/>
    <w:unhideWhenUsed/>
    <w:qFormat/>
    <w:uiPriority w:val="99"/>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table of authorities"/>
    <w:basedOn w:val="1"/>
    <w:next w:val="1"/>
    <w:qFormat/>
    <w:uiPriority w:val="0"/>
    <w:pPr>
      <w:keepNext w:val="0"/>
      <w:keepLines w:val="0"/>
      <w:widowControl/>
      <w:suppressLineNumbers w:val="0"/>
      <w:spacing w:before="0" w:beforeAutospacing="0" w:after="0" w:afterAutospacing="0"/>
      <w:ind w:left="420" w:leftChars="200" w:right="0"/>
      <w:jc w:val="left"/>
    </w:pPr>
    <w:rPr>
      <w:rFonts w:hint="eastAsia" w:ascii="Calibri" w:hAnsi="Calibri" w:eastAsia="仿宋_GB2312" w:cs="宋体"/>
      <w:kern w:val="0"/>
      <w:sz w:val="24"/>
      <w:szCs w:val="24"/>
      <w:lang w:val="en-US" w:eastAsia="zh-CN" w:bidi="ar"/>
    </w:rPr>
  </w:style>
  <w:style w:type="paragraph" w:styleId="9">
    <w:name w:val="Body Text Indent"/>
    <w:basedOn w:val="1"/>
    <w:unhideWhenUsed/>
    <w:qFormat/>
    <w:uiPriority w:val="99"/>
    <w:pPr>
      <w:spacing w:after="120"/>
      <w:ind w:left="420" w:leftChars="200"/>
    </w:pPr>
  </w:style>
  <w:style w:type="paragraph" w:styleId="10">
    <w:name w:val="Date"/>
    <w:basedOn w:val="1"/>
    <w:next w:val="1"/>
    <w:qFormat/>
    <w:uiPriority w:val="99"/>
    <w:pPr>
      <w:keepNext w:val="0"/>
      <w:keepLines w:val="0"/>
      <w:widowControl/>
      <w:suppressLineNumbers w:val="0"/>
      <w:spacing w:before="0" w:beforeAutospacing="0" w:after="0" w:afterAutospacing="0"/>
      <w:ind w:left="100" w:leftChars="2500" w:right="0"/>
      <w:jc w:val="left"/>
    </w:pPr>
    <w:rPr>
      <w:rFonts w:hint="eastAsia" w:ascii="宋体" w:hAnsi="宋体" w:eastAsia="宋体" w:cs="宋体"/>
      <w:kern w:val="0"/>
      <w:sz w:val="24"/>
      <w:szCs w:val="24"/>
      <w:lang w:val="en-US" w:eastAsia="zh-CN" w:bidi="ar"/>
    </w:rPr>
  </w:style>
  <w:style w:type="paragraph" w:styleId="11">
    <w:name w:val="footer"/>
    <w:basedOn w:val="1"/>
    <w:qFormat/>
    <w:uiPriority w:val="99"/>
    <w:pPr>
      <w:keepNext w:val="0"/>
      <w:keepLines w:val="0"/>
      <w:widowControl/>
      <w:suppressLineNumbers w:val="0"/>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12">
    <w:name w:val="header"/>
    <w:basedOn w:val="1"/>
    <w:qFormat/>
    <w:uiPriority w:val="99"/>
    <w:pPr>
      <w:keepNext w:val="0"/>
      <w:keepLines w:val="0"/>
      <w:widowControl/>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3">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99"/>
    <w:pPr>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paragraph" w:styleId="15">
    <w:name w:val="Body Text First Indent 2"/>
    <w:basedOn w:val="9"/>
    <w:qFormat/>
    <w:uiPriority w:val="0"/>
    <w:pPr>
      <w:ind w:firstLine="420" w:firstLineChars="200"/>
    </w:pPr>
    <w:rPr>
      <w:rFonts w:eastAsia="宋体"/>
    </w:rPr>
  </w:style>
  <w:style w:type="character" w:customStyle="1" w:styleId="18">
    <w:name w:val="31"/>
    <w:basedOn w:val="17"/>
    <w:qFormat/>
    <w:uiPriority w:val="0"/>
    <w:rPr>
      <w:rFonts w:hint="default" w:ascii="Times New Roman" w:hAnsi="Times New Roman" w:cs="Times New Roman"/>
    </w:rPr>
  </w:style>
  <w:style w:type="paragraph" w:customStyle="1" w:styleId="19">
    <w:name w:val="Table Paragraph"/>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0">
    <w:name w:val="HTML 预设格式 Char Char"/>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1">
    <w:name w:val="普通(网站) Char Char"/>
    <w:basedOn w:val="1"/>
    <w:qFormat/>
    <w:uiPriority w:val="0"/>
    <w:pPr>
      <w:keepNext w:val="0"/>
      <w:keepLines w:val="0"/>
      <w:widowControl/>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customStyle="1" w:styleId="22">
    <w:name w:val="32"/>
    <w:basedOn w:val="17"/>
    <w:qFormat/>
    <w:uiPriority w:val="0"/>
    <w:rPr>
      <w:rFonts w:hint="default" w:ascii="Times New Roman" w:hAnsi="Times New Roman" w:cs="Times New Roman"/>
    </w:rPr>
  </w:style>
  <w:style w:type="character" w:customStyle="1" w:styleId="23">
    <w:name w:val="24"/>
    <w:basedOn w:val="17"/>
    <w:qFormat/>
    <w:uiPriority w:val="0"/>
    <w:rPr>
      <w:rFonts w:hint="default" w:ascii="Times New Roman" w:hAnsi="Times New Roman" w:cs="Times New Roman"/>
    </w:rPr>
  </w:style>
  <w:style w:type="character" w:customStyle="1" w:styleId="24">
    <w:name w:val="22"/>
    <w:basedOn w:val="17"/>
    <w:qFormat/>
    <w:uiPriority w:val="0"/>
    <w:rPr>
      <w:rFonts w:hint="default" w:ascii="Times New Roman" w:hAnsi="Times New Roman" w:cs="Times New Roman"/>
    </w:rPr>
  </w:style>
  <w:style w:type="character" w:customStyle="1" w:styleId="25">
    <w:name w:val="29"/>
    <w:basedOn w:val="17"/>
    <w:qFormat/>
    <w:uiPriority w:val="0"/>
    <w:rPr>
      <w:rFonts w:hint="eastAsia" w:ascii="宋体" w:hAnsi="宋体" w:eastAsia="宋体" w:cs="宋体"/>
      <w:sz w:val="18"/>
      <w:szCs w:val="18"/>
    </w:rPr>
  </w:style>
  <w:style w:type="character" w:customStyle="1" w:styleId="26">
    <w:name w:val="37"/>
    <w:basedOn w:val="17"/>
    <w:qFormat/>
    <w:uiPriority w:val="0"/>
    <w:rPr>
      <w:rFonts w:hint="default" w:ascii="Times New Roman" w:hAnsi="Times New Roman" w:cs="Times New Roman"/>
    </w:rPr>
  </w:style>
  <w:style w:type="character" w:customStyle="1" w:styleId="27">
    <w:name w:val="28"/>
    <w:basedOn w:val="17"/>
    <w:qFormat/>
    <w:uiPriority w:val="0"/>
    <w:rPr>
      <w:rFonts w:hint="eastAsia" w:ascii="宋体" w:hAnsi="宋体" w:eastAsia="宋体" w:cs="宋体"/>
      <w:sz w:val="24"/>
      <w:szCs w:val="24"/>
    </w:rPr>
  </w:style>
  <w:style w:type="character" w:customStyle="1" w:styleId="28">
    <w:name w:val="30"/>
    <w:basedOn w:val="17"/>
    <w:qFormat/>
    <w:uiPriority w:val="0"/>
    <w:rPr>
      <w:rFonts w:hint="default" w:ascii="Times New Roman" w:hAnsi="Times New Roman" w:cs="Times New Roman"/>
    </w:rPr>
  </w:style>
  <w:style w:type="character" w:customStyle="1" w:styleId="29">
    <w:name w:val="10"/>
    <w:basedOn w:val="17"/>
    <w:qFormat/>
    <w:uiPriority w:val="0"/>
    <w:rPr>
      <w:rFonts w:hint="default" w:ascii="Times New Roman" w:hAnsi="Times New Roman" w:cs="Times New Roman"/>
    </w:rPr>
  </w:style>
  <w:style w:type="character" w:customStyle="1" w:styleId="30">
    <w:name w:val="23"/>
    <w:basedOn w:val="17"/>
    <w:qFormat/>
    <w:uiPriority w:val="0"/>
    <w:rPr>
      <w:rFonts w:hint="default" w:ascii="Times New Roman" w:hAnsi="Times New Roman" w:cs="Times New Roman"/>
    </w:rPr>
  </w:style>
  <w:style w:type="character" w:customStyle="1" w:styleId="31">
    <w:name w:val="33"/>
    <w:basedOn w:val="17"/>
    <w:qFormat/>
    <w:uiPriority w:val="0"/>
    <w:rPr>
      <w:rFonts w:hint="default" w:ascii="Times New Roman" w:hAnsi="Times New Roman" w:cs="Times New Roman"/>
    </w:rPr>
  </w:style>
  <w:style w:type="character" w:customStyle="1" w:styleId="32">
    <w:name w:val="15"/>
    <w:basedOn w:val="17"/>
    <w:qFormat/>
    <w:uiPriority w:val="0"/>
    <w:rPr>
      <w:rFonts w:hint="default" w:ascii="Times New Roman" w:hAnsi="Times New Roman" w:cs="Times New Roman"/>
    </w:rPr>
  </w:style>
  <w:style w:type="character" w:customStyle="1" w:styleId="33">
    <w:name w:val="16"/>
    <w:basedOn w:val="17"/>
    <w:qFormat/>
    <w:uiPriority w:val="0"/>
    <w:rPr>
      <w:rFonts w:hint="default" w:ascii="Times New Roman" w:hAnsi="Times New Roman" w:cs="Times New Roman"/>
    </w:rPr>
  </w:style>
  <w:style w:type="character" w:customStyle="1" w:styleId="34">
    <w:name w:val="17"/>
    <w:basedOn w:val="17"/>
    <w:qFormat/>
    <w:uiPriority w:val="0"/>
    <w:rPr>
      <w:rFonts w:hint="default" w:ascii="Times New Roman" w:hAnsi="Times New Roman" w:cs="Times New Roman"/>
    </w:rPr>
  </w:style>
  <w:style w:type="character" w:customStyle="1" w:styleId="35">
    <w:name w:val="18"/>
    <w:basedOn w:val="17"/>
    <w:qFormat/>
    <w:uiPriority w:val="0"/>
    <w:rPr>
      <w:rFonts w:hint="default" w:ascii="Times New Roman" w:hAnsi="Times New Roman" w:cs="Times New Roman"/>
    </w:rPr>
  </w:style>
  <w:style w:type="character" w:customStyle="1" w:styleId="36">
    <w:name w:val="19"/>
    <w:basedOn w:val="17"/>
    <w:qFormat/>
    <w:uiPriority w:val="0"/>
    <w:rPr>
      <w:rFonts w:hint="default" w:ascii="Times New Roman" w:hAnsi="Times New Roman" w:cs="Times New Roman"/>
    </w:rPr>
  </w:style>
  <w:style w:type="paragraph" w:customStyle="1" w:styleId="37">
    <w:name w:val="HTML 预设格式 Char"/>
    <w:basedOn w:val="1"/>
    <w:qFormat/>
    <w:uiPriority w:val="0"/>
    <w:pPr>
      <w:keepNext w:val="0"/>
      <w:keepLines w:val="0"/>
      <w:widowControl/>
      <w:suppressLineNumbers w:val="0"/>
      <w:spacing w:before="0" w:beforeAutospacing="0" w:after="0" w:afterAutospacing="0"/>
      <w:ind w:left="0" w:right="0"/>
      <w:jc w:val="left"/>
    </w:pPr>
    <w:rPr>
      <w:rFonts w:hint="default" w:ascii="Courier New" w:hAnsi="Courier New" w:eastAsia="宋体" w:cs="Courier New"/>
      <w:kern w:val="0"/>
      <w:sz w:val="20"/>
      <w:szCs w:val="20"/>
      <w:lang w:val="en-US" w:eastAsia="zh-CN" w:bidi="ar"/>
    </w:rPr>
  </w:style>
  <w:style w:type="character" w:customStyle="1" w:styleId="38">
    <w:name w:val="20"/>
    <w:basedOn w:val="17"/>
    <w:qFormat/>
    <w:uiPriority w:val="0"/>
    <w:rPr>
      <w:rFonts w:hint="default" w:ascii="Times New Roman" w:hAnsi="Times New Roman" w:cs="Times New Roman"/>
    </w:rPr>
  </w:style>
  <w:style w:type="character" w:customStyle="1" w:styleId="39">
    <w:name w:val="21"/>
    <w:basedOn w:val="17"/>
    <w:qFormat/>
    <w:uiPriority w:val="0"/>
    <w:rPr>
      <w:rFonts w:hint="default" w:ascii="Times New Roman" w:hAnsi="Times New Roman" w:cs="Times New Roman"/>
    </w:rPr>
  </w:style>
  <w:style w:type="character" w:customStyle="1" w:styleId="40">
    <w:name w:val="25"/>
    <w:basedOn w:val="17"/>
    <w:qFormat/>
    <w:uiPriority w:val="0"/>
    <w:rPr>
      <w:rFonts w:hint="default" w:ascii="Times New Roman" w:hAnsi="Times New Roman" w:cs="Times New Roman"/>
    </w:rPr>
  </w:style>
  <w:style w:type="character" w:customStyle="1" w:styleId="41">
    <w:name w:val="26"/>
    <w:basedOn w:val="17"/>
    <w:qFormat/>
    <w:uiPriority w:val="0"/>
    <w:rPr>
      <w:rFonts w:hint="default" w:ascii="Times New Roman" w:hAnsi="Times New Roman" w:cs="Times New Roman"/>
    </w:rPr>
  </w:style>
  <w:style w:type="character" w:customStyle="1" w:styleId="42">
    <w:name w:val="27"/>
    <w:basedOn w:val="17"/>
    <w:qFormat/>
    <w:uiPriority w:val="0"/>
    <w:rPr>
      <w:rFonts w:hint="default" w:ascii="Times New Roman" w:hAnsi="Times New Roman" w:cs="Times New Roman"/>
    </w:rPr>
  </w:style>
  <w:style w:type="character" w:customStyle="1" w:styleId="43">
    <w:name w:val="34"/>
    <w:basedOn w:val="17"/>
    <w:qFormat/>
    <w:uiPriority w:val="0"/>
    <w:rPr>
      <w:rFonts w:hint="default" w:ascii="Times New Roman" w:hAnsi="Times New Roman" w:cs="Times New Roman"/>
    </w:rPr>
  </w:style>
  <w:style w:type="character" w:customStyle="1" w:styleId="44">
    <w:name w:val="35"/>
    <w:basedOn w:val="17"/>
    <w:qFormat/>
    <w:uiPriority w:val="0"/>
    <w:rPr>
      <w:rFonts w:hint="default" w:ascii="Times New Roman" w:hAnsi="Times New Roman" w:cs="Times New Roman"/>
    </w:rPr>
  </w:style>
  <w:style w:type="character" w:customStyle="1" w:styleId="45">
    <w:name w:val="36"/>
    <w:basedOn w:val="17"/>
    <w:qFormat/>
    <w:uiPriority w:val="0"/>
    <w:rPr>
      <w:rFonts w:hint="eastAsia" w:ascii="宋体" w:hAnsi="宋体" w:eastAsia="宋体" w:cs="宋体"/>
      <w:sz w:val="18"/>
      <w:szCs w:val="18"/>
    </w:rPr>
  </w:style>
  <w:style w:type="paragraph" w:customStyle="1" w:styleId="46">
    <w:name w:val="HTML 预设格式 Char Char Char"/>
    <w:basedOn w:val="1"/>
    <w:qFormat/>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47">
    <w:name w:val="pre Char"/>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48">
    <w:name w:val="普通(网站) Char"/>
    <w:basedOn w:val="1"/>
    <w:qFormat/>
    <w:uiPriority w:val="0"/>
    <w:pPr>
      <w:keepNext w:val="0"/>
      <w:keepLines w:val="0"/>
      <w:widowControl/>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paragraph" w:customStyle="1" w:styleId="49">
    <w:name w:val="普通(网站) Char Char Char"/>
    <w:basedOn w:val="1"/>
    <w:qFormat/>
    <w:uiPriority w:val="0"/>
    <w:pPr>
      <w:keepNext w:val="0"/>
      <w:keepLines w:val="0"/>
      <w:widowControl/>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paragraph" w:customStyle="1" w:styleId="50">
    <w:name w:val="p Char"/>
    <w:basedOn w:val="1"/>
    <w:qFormat/>
    <w:uiPriority w:val="0"/>
    <w:pPr>
      <w:keepNext w:val="0"/>
      <w:keepLines w:val="0"/>
      <w:widowControl/>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paragraph" w:customStyle="1" w:styleId="51">
    <w:name w:val="普通(网站) Char Char Char Char"/>
    <w:basedOn w:val="1"/>
    <w:qFormat/>
    <w:uiPriority w:val="0"/>
    <w:pPr>
      <w:keepNext w:val="0"/>
      <w:keepLines w:val="0"/>
      <w:widowControl/>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a:t>
            </a:r>
          </a:p>
        </c:rich>
      </c:tx>
      <c:layout>
        <c:manualLayout>
          <c:xMode val="edge"/>
          <c:yMode val="edge"/>
          <c:x val="0.346"/>
          <c:y val="0.034"/>
        </c:manualLayout>
      </c:layout>
      <c:overlay val="0"/>
      <c:spPr>
        <a:noFill/>
        <a:ln>
          <a:noFill/>
        </a:ln>
        <a:effectLst/>
      </c:spPr>
    </c:title>
    <c:autoTitleDeleted val="0"/>
    <c:plotArea>
      <c:layout>
        <c:manualLayout>
          <c:layoutTarget val="inner"/>
          <c:xMode val="edge"/>
          <c:yMode val="edge"/>
          <c:x val="0.04245"/>
          <c:y val="0.127"/>
          <c:w val="0.927925"/>
          <c:h val="0.716566666666667"/>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3190.37</c:v>
                </c:pt>
                <c:pt idx="1">
                  <c:v>442.86</c:v>
                </c:pt>
              </c:numCache>
            </c:numRef>
          </c:val>
        </c:ser>
        <c:dLbls>
          <c:showLegendKey val="0"/>
          <c:showVal val="1"/>
          <c:showCatName val="0"/>
          <c:showSerName val="0"/>
          <c:showPercent val="0"/>
          <c:showBubbleSize val="0"/>
        </c:dLbls>
        <c:gapWidth val="153"/>
        <c:overlap val="-51"/>
        <c:axId val="599928513"/>
        <c:axId val="929468342"/>
      </c:barChart>
      <c:catAx>
        <c:axId val="599928513"/>
        <c:scaling>
          <c:orientation val="minMax"/>
        </c:scaling>
        <c:delete val="0"/>
        <c:axPos val="b"/>
        <c:title>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9468342"/>
        <c:crosses val="autoZero"/>
        <c:auto val="1"/>
        <c:lblAlgn val="ctr"/>
        <c:lblOffset val="100"/>
        <c:noMultiLvlLbl val="0"/>
      </c:catAx>
      <c:valAx>
        <c:axId val="929468342"/>
        <c:scaling>
          <c:orientation val="minMax"/>
        </c:scaling>
        <c:delete val="0"/>
        <c:axPos val="l"/>
        <c:majorGridlines>
          <c:spPr>
            <a:ln w="9525" cap="flat" cmpd="sng" algn="ctr">
              <a:solidFill>
                <a:schemeClr val="tx1">
                  <a:lumMod val="15000"/>
                  <a:lumOff val="850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99285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 财政拨款收支决算总计变动情况表</a:t>
            </a:r>
          </a:p>
        </c:rich>
      </c:tx>
      <c:layout/>
      <c:overlay val="0"/>
      <c:spPr>
        <a:noFill/>
        <a:ln>
          <a:noFill/>
        </a:ln>
        <a:effectLst/>
      </c:spPr>
    </c:title>
    <c:autoTitleDeleted val="0"/>
    <c:plotArea>
      <c:layout/>
      <c:lineChart>
        <c:grouping val="standard"/>
        <c:varyColors val="0"/>
        <c:ser>
          <c:idx val="0"/>
          <c:order val="0"/>
          <c:tx>
            <c:strRef>
              <c:f>Sheet1!$B$1</c:f>
              <c:strCache>
                <c:ptCount val="1"/>
                <c:pt idx="0">
                  <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3190.37</c:v>
                </c:pt>
                <c:pt idx="1">
                  <c:v>442.86</c:v>
                </c:pt>
              </c:numCache>
            </c:numRef>
          </c:val>
          <c:smooth val="0"/>
        </c:ser>
        <c:dLbls>
          <c:showLegendKey val="0"/>
          <c:showVal val="1"/>
          <c:showCatName val="0"/>
          <c:showSerName val="0"/>
          <c:showPercent val="0"/>
          <c:showBubbleSize val="0"/>
        </c:dLbls>
        <c:marker val="0"/>
        <c:smooth val="0"/>
        <c:axId val="869337717"/>
        <c:axId val="407946490"/>
      </c:lineChart>
      <c:catAx>
        <c:axId val="86933771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7946490"/>
        <c:crosses val="autoZero"/>
        <c:auto val="1"/>
        <c:lblAlgn val="ctr"/>
        <c:lblOffset val="100"/>
        <c:noMultiLvlLbl val="0"/>
      </c:catAx>
      <c:valAx>
        <c:axId val="4079464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933771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Characters>17538</Characters>
  <Lines>1</Lines>
  <Paragraphs>1</Paragraphs>
  <TotalTime>3</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2024-11-08T03:28:00Z</dcterms:created>
  <dc:creator>FL</dc:creator>
  <cp:lastModifiedBy>Administrator</cp:lastModifiedBy>
  <dcterms:modified xsi:type="dcterms:W3CDTF">2025-06-20T07:39:35Z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33D578F76FA64AF8BE3F34F48ADA457B_12</vt:lpwstr>
  </property>
</Properties>
</file>