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jc w:val="center"/>
        <w:rPr>
          <w:rFonts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武汉市蔡甸区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年国民经济</w:t>
      </w:r>
    </w:p>
    <w:p>
      <w:pPr>
        <w:shd w:val="clear" w:color="auto" w:fill="FFFFFF"/>
        <w:spacing w:line="580" w:lineRule="exact"/>
        <w:jc w:val="center"/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和社会发展统计公报</w:t>
      </w:r>
    </w:p>
    <w:p>
      <w:pPr>
        <w:shd w:val="clear" w:color="auto" w:fill="FFFFFF"/>
        <w:spacing w:line="580" w:lineRule="exact"/>
        <w:ind w:firstLine="643" w:firstLineChars="200"/>
        <w:jc w:val="center"/>
        <w:rPr>
          <w:rFonts w:ascii="方正小标宋简体" w:hAnsi="Times New Roman" w:eastAsia="方正小标宋简体" w:cs="宋体"/>
          <w:b/>
          <w:bCs/>
          <w:color w:val="000000" w:themeColor="text1"/>
          <w:kern w:val="0"/>
          <w:sz w:val="32"/>
          <w:szCs w:val="32"/>
          <w:lang w:val="zh-CN"/>
        </w:rPr>
      </w:pPr>
    </w:p>
    <w:p>
      <w:pPr>
        <w:pStyle w:val="4"/>
        <w:shd w:val="clear" w:color="auto" w:fill="FFFFFF"/>
        <w:spacing w:before="240" w:beforeAutospacing="0" w:after="240" w:afterAutospacing="0"/>
        <w:ind w:firstLine="480"/>
        <w:jc w:val="both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Times New Roman" w:eastAsia="仿宋_GB2312"/>
          <w:color w:val="FF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2022年是新一届区政府的开局之年，极具考验、极其艰难、极不平凡。一年来，面对经济下行的国内外发展环境，面对严峻复杂的疫情防控形势，面对历史罕见的高温干旱影响，全区上下坚持以习近平新时代中国特色社会主义思想为指导，在市委、市政府和区委坚强领导下，团结带领和紧紧依靠全区广大干部群众，积极应对各种风险挑战，稳中求进、克难奋进，全力以赴完成全年经济社会发展目标任务，各项工作取得新进展、呈现新亮点。</w:t>
      </w:r>
    </w:p>
    <w:p>
      <w:pPr>
        <w:widowControl/>
        <w:shd w:val="clear" w:color="auto" w:fill="FFFFFF"/>
        <w:spacing w:line="54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一、综合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初步核算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,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全年</w:t>
      </w:r>
      <w:r>
        <w:rPr>
          <w:rFonts w:ascii="Times New Roman" w:eastAsia="仿宋_GB2312"/>
          <w:color w:val="000000" w:themeColor="text1"/>
          <w:kern w:val="0"/>
          <w:sz w:val="32"/>
          <w:szCs w:val="32"/>
        </w:rPr>
        <w:t>实现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地区生产总值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451.82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比上年增长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5.1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。其中，第一产业增加值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57.42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4.4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；第</w:t>
      </w:r>
      <w:r>
        <w:rPr>
          <w:rFonts w:ascii="Times New Roman" w:eastAsia="仿宋_GB2312"/>
          <w:color w:val="000000" w:themeColor="text1"/>
          <w:kern w:val="0"/>
          <w:sz w:val="32"/>
          <w:szCs w:val="32"/>
        </w:rPr>
        <w:t>二产业增加值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195.45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8.8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；第三产业增加值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198.95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2.2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。一、二、三产业比重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12.7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43.3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44.0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。</w:t>
      </w:r>
    </w:p>
    <w:p>
      <w:pPr>
        <w:widowControl/>
        <w:shd w:val="clear" w:color="auto" w:fill="FFFFFF"/>
        <w:spacing w:line="240" w:lineRule="auto"/>
        <w:ind w:firstLine="592"/>
        <w:rPr>
          <w:rFonts w:hint="eastAsia" w:ascii="楷体_GB2312" w:hAnsi="仿宋" w:eastAsia="楷体_GB2312" w:cs="宋体"/>
          <w:color w:val="FF0000"/>
          <w:sz w:val="32"/>
          <w:szCs w:val="32"/>
          <w:lang w:eastAsia="zh-CN"/>
        </w:rPr>
      </w:pPr>
      <w:r>
        <w:pict>
          <v:shape id="_x0000_i1025" o:spt="75" type="#_x0000_t75" style="height:183pt;width:391.5pt;" filled="f" o:preferrelative="t" stroked="f" coordsize="21600,21600" o:gfxdata="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</w:pict>
      </w:r>
    </w:p>
    <w:p>
      <w:pPr>
        <w:ind w:firstLine="640" w:firstLineChars="200"/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</w:pPr>
      <w:r>
        <w:rPr>
          <w:rFonts w:hint="eastAsia" w:ascii="楷体_GB2312" w:hAnsi="仿宋" w:eastAsia="楷体_GB2312" w:cs="宋体"/>
          <w:color w:val="000000" w:themeColor="text1"/>
          <w:sz w:val="32"/>
          <w:szCs w:val="32"/>
        </w:rPr>
        <w:t>人口：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年末全区常住人口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62.29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万人，比上年末增加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0.83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万人，其中城镇常住人口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31.41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万人，占总人口比重（常住人口城镇化率）为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50.42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比上年末提高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0.34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个百分点。年末全区户籍人口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47.45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万人。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全年共出生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2788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人，出生率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4.52‰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；死亡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3925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人，死亡率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6.37‰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；自然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1137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人，自然增长率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-1.85‰；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符合政策生育率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99.53%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，出生人口性别比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108.6。</w:t>
      </w:r>
    </w:p>
    <w:p>
      <w:pPr>
        <w:widowControl/>
        <w:shd w:val="clear" w:color="auto" w:fill="FFFFFF"/>
        <w:spacing w:line="560" w:lineRule="atLeast"/>
        <w:ind w:firstLine="592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就业：</w:t>
      </w:r>
      <w:r>
        <w:rPr>
          <w:rFonts w:hint="eastAsia" w:ascii="Times New Roman" w:hAnsi="Times New Roman" w:eastAsia="仿宋" w:cs="仿宋"/>
          <w:sz w:val="32"/>
          <w:szCs w:val="32"/>
        </w:rPr>
        <w:t>全年城镇净增就业岗位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10207个，安排下岗失业人员再就业3536人。再就业人员培训6597人。登记失业率2.03%，比上年末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0.4</w:t>
      </w:r>
      <w:r>
        <w:rPr>
          <w:rFonts w:hint="eastAsia" w:ascii="Times New Roman" w:hAnsi="Times New Roman" w:eastAsia="仿宋" w:cs="仿宋"/>
          <w:sz w:val="32"/>
          <w:szCs w:val="32"/>
        </w:rPr>
        <w:t>个百分点。</w:t>
      </w:r>
    </w:p>
    <w:p>
      <w:pPr>
        <w:widowControl/>
        <w:shd w:val="clear" w:color="auto" w:fill="FFFFFF"/>
        <w:spacing w:line="560" w:lineRule="exact"/>
        <w:ind w:firstLine="592"/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市场主体：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年末全区市场主体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en-US" w:eastAsia="zh-CN"/>
        </w:rPr>
        <w:t>8.5万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户，比上年增长9.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%，其中，企业2.18万户，增长9.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%；个体工商户6.32万户，增长10.3%。全年新登记市场主体16379户，下降6.1%，其中，新登记企业6160户，增长31.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%；新登记个体工商户10219户，下降19.4%。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二、农业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全年农林牧渔及服务业增加值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60.59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4.7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%。主要农产品中粮食产量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11.50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万吨，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2.8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%；蔬菜产量106.29万吨，增长4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.0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%；水产品总产量7.0万吨，增长2.3%。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新增“三品一标”认证产品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15</w:t>
      </w:r>
      <w:r>
        <w:rPr>
          <w:rFonts w:hint="default" w:ascii="仿宋_GB2312" w:hAnsi="仿宋_GB2312" w:eastAsia="仿宋_GB2312" w:cs="仿宋_GB2312"/>
          <w:sz w:val="32"/>
          <w:szCs w:val="32"/>
        </w:rPr>
        <w:t>个，创建市级农民专业合作社示范社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家。新建成高标准农田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2.28</w:t>
      </w:r>
      <w:r>
        <w:rPr>
          <w:rFonts w:hint="default" w:ascii="仿宋_GB2312" w:hAnsi="仿宋_GB2312" w:eastAsia="仿宋_GB2312" w:cs="仿宋_GB2312"/>
          <w:sz w:val="32"/>
          <w:szCs w:val="32"/>
        </w:rPr>
        <w:t>万亩。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新增土地流转面积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205.81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亩。</w:t>
      </w:r>
      <w:r>
        <w:rPr>
          <w:rFonts w:hint="default" w:ascii="仿宋_GB2312" w:hAnsi="仿宋_GB2312" w:eastAsia="仿宋_GB2312" w:cs="仿宋_GB2312"/>
          <w:sz w:val="32"/>
          <w:szCs w:val="32"/>
        </w:rPr>
        <w:t>全年施用化肥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万吨，使用农药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440</w:t>
      </w:r>
      <w:r>
        <w:rPr>
          <w:rFonts w:hint="default" w:ascii="仿宋_GB2312" w:hAnsi="仿宋_GB2312" w:eastAsia="仿宋_GB2312" w:cs="仿宋_GB2312"/>
          <w:sz w:val="32"/>
          <w:szCs w:val="32"/>
        </w:rPr>
        <w:t>吨。农业灌溉水有效利用系数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0.6</w:t>
      </w:r>
      <w:r>
        <w:rPr>
          <w:rFonts w:hint="default" w:ascii="仿宋_GB2312" w:hAnsi="仿宋_GB2312" w:eastAsia="仿宋_GB2312" w:cs="仿宋_GB2312"/>
          <w:sz w:val="32"/>
          <w:szCs w:val="32"/>
        </w:rPr>
        <w:t>。农业机械总动力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3.995</w:t>
      </w:r>
      <w:r>
        <w:rPr>
          <w:rFonts w:hint="default" w:ascii="仿宋_GB2312" w:hAnsi="仿宋_GB2312" w:eastAsia="仿宋_GB2312" w:cs="仿宋_GB2312"/>
          <w:sz w:val="32"/>
          <w:szCs w:val="32"/>
        </w:rPr>
        <w:t>万千瓦，农业机械化综合水平达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82.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黑体" w:cs="宋体"/>
          <w:color w:val="FF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三、工业和建筑业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工业：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全年工业增加值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154.96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7.1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年末规模以上工业企业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361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实现产值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832.89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16.4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全年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规模以上工业增加值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13.5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规模以上工业企业营业收入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670.56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10.3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%；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全区规模以上工业企业产品销售率为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85.2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cs="宋体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cs="宋体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auto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2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年规模以上工业</w:t>
      </w:r>
      <w:r>
        <w:rPr>
          <w:rFonts w:ascii="Times New Roman" w:hAnsi="Times New Roman" w:cs="宋体"/>
          <w:color w:val="auto"/>
          <w:kern w:val="0"/>
          <w:sz w:val="28"/>
          <w:szCs w:val="28"/>
        </w:rPr>
        <w:t>10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大行业总产值及其增长速度</w:t>
      </w:r>
    </w:p>
    <w:tbl>
      <w:tblPr>
        <w:tblStyle w:val="5"/>
        <w:tblW w:w="8599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1894"/>
        <w:gridCol w:w="2276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42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年（亿元）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比上年增长（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42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食品、饮料制造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21.01 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纺织服装业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14.8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造纸和纸制品业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13.28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29.8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化学原料和化学制品制造业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13.2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橡胶和塑料制品业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42.72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通用设备制造业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34.59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18.3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专用设备制造业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-9.7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汽车制造业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171.02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电气机械和器材制造业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78.34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42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计算机、通信和其他电子设备制造业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181.61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23.7 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建筑业：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全年建筑业增加值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40.49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15.3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。年末具有建筑业资质的建筑企业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家，完成建筑业总产值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217.74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亿元，房屋建筑施工面积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637.35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万平方米，房屋竣工面积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351.00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万平方米。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四、固定资产投资和房地产业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固定资产投资：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全年固定资产投资比上年增长1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%，按产业分，第一产业投资下降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%；第二产业投资增长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%，其中工业投资增长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29.1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%；第三产业投资增长1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%，其中基础设施增长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房地产开发：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全年完成房地产开发投资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218.71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21.0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。房屋施工面积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906.37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万平方米。销售商品房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133.46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5.0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，实现商品房销售额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102.94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 w:cs="宋体"/>
          <w:color w:val="000000" w:themeColor="text1"/>
          <w:sz w:val="32"/>
          <w:szCs w:val="32"/>
        </w:rPr>
        <w:t>保障性住房建设：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城市棚户区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改造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建成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 xml:space="preserve">1000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，另外新开工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 xml:space="preserve"> 900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套，总投资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9.8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亿元；筹集大学生租赁房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149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套。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  <w:t>五、交通运输、邮电通信和旅游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交通：</w:t>
      </w:r>
      <w:r>
        <w:rPr>
          <w:rFonts w:hint="eastAsia" w:ascii="仿宋_GB2312" w:hAnsi="仿宋_GB2312" w:eastAsia="仿宋_GB2312" w:cs="仿宋_GB2312"/>
          <w:sz w:val="32"/>
          <w:szCs w:val="40"/>
        </w:rPr>
        <w:t>年末全区拥有公路里程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2417.703</w:t>
      </w:r>
      <w:r>
        <w:rPr>
          <w:rFonts w:hint="eastAsia" w:ascii="仿宋_GB2312" w:hAnsi="仿宋_GB2312" w:eastAsia="仿宋_GB2312" w:cs="仿宋_GB2312"/>
          <w:sz w:val="32"/>
          <w:szCs w:val="40"/>
        </w:rPr>
        <w:t>公里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（移交给沌口和军山街共计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203.479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，比上年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6.0%</w:t>
      </w:r>
      <w:r>
        <w:rPr>
          <w:rFonts w:hint="eastAsia" w:ascii="仿宋_GB2312" w:hAnsi="仿宋_GB2312" w:eastAsia="仿宋_GB2312" w:cs="仿宋_GB2312"/>
          <w:sz w:val="32"/>
          <w:szCs w:val="40"/>
        </w:rPr>
        <w:t>，其中：等级公路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2417.703</w:t>
      </w:r>
      <w:r>
        <w:rPr>
          <w:rFonts w:hint="eastAsia" w:ascii="仿宋_GB2312" w:hAnsi="仿宋_GB2312" w:eastAsia="仿宋_GB2312" w:cs="仿宋_GB2312"/>
          <w:sz w:val="32"/>
          <w:szCs w:val="40"/>
        </w:rPr>
        <w:t>公里。货运周转量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74820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万吨公里，下降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17.8%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40"/>
        </w:rPr>
        <w:t>汽车货运周转量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63820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万吨公里，下降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8.7%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。客运周转量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万人公里，增长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1.4%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农村通公路行政村达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40"/>
        </w:rPr>
        <w:t>。年末全区城关公交线路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条，营运公共汽车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40"/>
        </w:rPr>
        <w:t>辆；城市公交线路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40"/>
        </w:rPr>
        <w:t>条，当年新开通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条，优化调整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40"/>
        </w:rPr>
        <w:t>条，营运公交车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372</w:t>
      </w:r>
      <w:r>
        <w:rPr>
          <w:rFonts w:hint="eastAsia" w:ascii="仿宋_GB2312" w:hAnsi="仿宋_GB2312" w:eastAsia="仿宋_GB2312" w:cs="仿宋_GB2312"/>
          <w:sz w:val="32"/>
          <w:szCs w:val="40"/>
        </w:rPr>
        <w:t>辆。年末实有出租汽车数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40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邮电通信：</w:t>
      </w:r>
      <w:r>
        <w:rPr>
          <w:rFonts w:hint="eastAsia" w:ascii="仿宋_GB2312" w:eastAsia="仿宋_GB2312"/>
          <w:sz w:val="32"/>
          <w:szCs w:val="32"/>
        </w:rPr>
        <w:t>全年实现邮政业务总收入为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10916.73</w:t>
      </w:r>
      <w:r>
        <w:rPr>
          <w:rFonts w:hint="eastAsia" w:ascii="仿宋_GB2312" w:eastAsia="仿宋_GB2312"/>
          <w:sz w:val="32"/>
          <w:szCs w:val="32"/>
        </w:rPr>
        <w:t>万元，比上年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20.3%。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电信业务总量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51632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年末固定电话用户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30840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户，其中：农村电话用户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9300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户。年末移动电话用户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379044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户。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shd w:val="clear" w:color="auto" w:fill="FFFFFF"/>
        </w:rPr>
        <w:t>旅游：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年末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A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级旅游景区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个，星级以上宾馆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家。全年接待国内游客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1107.05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万人次，比上年增长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10.4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，国内旅游收入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40.33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亿元，增长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21.9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  <w:t>六、国内贸易和对外经济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市场消费：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全年社会消费品零售总额达到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167.37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2.3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。其中：限上批发零售业完成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120.53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9.3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，限上住宿餐饮业完成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1.79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7.9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年社会消费品零售总额及其增长速度</w:t>
      </w:r>
    </w:p>
    <w:p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</w:p>
    <w:tbl>
      <w:tblPr>
        <w:tblStyle w:val="5"/>
        <w:tblW w:w="7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1785"/>
        <w:gridCol w:w="2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95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社会消费品零售总额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167.37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限额以上企业零售额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122.32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按行业分：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批发零售业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120.53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住宿餐饮业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1.79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按经营地分：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城镇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120.80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乡村</w:t>
            </w:r>
          </w:p>
        </w:tc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1.52</w:t>
            </w:r>
          </w:p>
        </w:tc>
        <w:tc>
          <w:tcPr>
            <w:tcW w:w="2261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-13.1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pict>
          <v:shape id="_x0000_i1026" o:spt="75" type="#_x0000_t75" style="height:256.35pt;width:405pt;" filled="f" o:preferrelative="t" stroked="f" coordsize="21600,21600" o:gfxdata="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</w:pic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楷体_GB2312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对外经济：</w:t>
      </w:r>
      <w:r>
        <w:rPr>
          <w:rFonts w:hint="eastAsia" w:ascii="Times New Roman" w:hAnsi="Times New Roman" w:eastAsia="仿宋_GB2312"/>
          <w:sz w:val="32"/>
          <w:szCs w:val="32"/>
        </w:rPr>
        <w:t>全年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</w:t>
      </w:r>
      <w:r>
        <w:rPr>
          <w:rFonts w:hint="eastAsia" w:ascii="Times New Roman" w:hAnsi="Times New Roman" w:eastAsia="仿宋_GB2312"/>
          <w:sz w:val="32"/>
          <w:szCs w:val="32"/>
        </w:rPr>
        <w:t>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66.14</w:t>
      </w:r>
      <w:r>
        <w:rPr>
          <w:rFonts w:hint="eastAsia"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12.6%。</w:t>
      </w:r>
      <w:r>
        <w:rPr>
          <w:rFonts w:hint="eastAsia" w:ascii="Times New Roman" w:hAnsi="Times New Roman" w:eastAsia="仿宋_GB2312"/>
          <w:sz w:val="32"/>
          <w:szCs w:val="32"/>
        </w:rPr>
        <w:t>招商引资总额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739.8</w:t>
      </w:r>
      <w:r>
        <w:rPr>
          <w:rFonts w:hint="eastAsia" w:ascii="Times New Roman" w:hAnsi="Times New Roman" w:eastAsia="仿宋_GB2312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25.0%</w:t>
      </w:r>
      <w:r>
        <w:rPr>
          <w:rFonts w:hint="eastAsia" w:ascii="Times New Roman" w:hAnsi="Times New Roman" w:eastAsia="仿宋_GB2312"/>
          <w:sz w:val="32"/>
          <w:szCs w:val="32"/>
        </w:rPr>
        <w:t>。实际利用外资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72400</w:t>
      </w:r>
      <w:r>
        <w:rPr>
          <w:rFonts w:hint="eastAsia" w:ascii="Times New Roman" w:hAnsi="Times New Roman" w:eastAsia="仿宋_GB2312"/>
          <w:sz w:val="32"/>
          <w:szCs w:val="32"/>
        </w:rPr>
        <w:t>万美元，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10.3%</w:t>
      </w:r>
      <w:r>
        <w:rPr>
          <w:rFonts w:hint="eastAsia" w:ascii="Times New Roman" w:hAnsi="Times New Roman" w:eastAsia="仿宋_GB2312"/>
          <w:sz w:val="32"/>
          <w:szCs w:val="32"/>
        </w:rPr>
        <w:t>；实际利用内资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693.5</w:t>
      </w:r>
      <w:r>
        <w:rPr>
          <w:rFonts w:hint="eastAsia" w:ascii="Times New Roman" w:hAnsi="Times New Roman" w:eastAsia="仿宋_GB2312"/>
          <w:sz w:val="32"/>
          <w:szCs w:val="32"/>
        </w:rPr>
        <w:t>亿元，增长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8.8%。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七、财政和金融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财税：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全年完成一般公共预算总收入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51.10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1.4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，其中地方一般公共财政预算收入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36.59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1.0%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。在地方一般公共预算收入中，税收收入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29.54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，税收收入占地方一般公共预算收入比重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80.7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。全年公共财政支出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74.98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8.9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收入数据使用剔除增值税留抵退税因素后的可比增速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</w:p>
    <w:p>
      <w:pPr>
        <w:spacing w:line="240" w:lineRule="auto"/>
        <w:ind w:firstLine="420" w:firstLineChars="200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pict>
          <v:shape id="_x0000_i1027" o:spt="75" type="#_x0000_t75" style="height:208.75pt;width:406.45pt;" filled="f" o:preferrelative="t" stroked="f" coordsize="21600,21600" o:gfxdata="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</w:pic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：202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年财政收入及其增长速度</w:t>
      </w:r>
    </w:p>
    <w:tbl>
      <w:tblPr>
        <w:tblStyle w:val="5"/>
        <w:tblpPr w:leftFromText="180" w:rightFromText="180" w:vertAnchor="text" w:horzAnchor="page" w:tblpX="1511" w:tblpY="122"/>
        <w:tblOverlap w:val="never"/>
        <w:tblW w:w="91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2008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81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81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、一般公共预算总收入</w:t>
            </w: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51.10</w:t>
            </w:r>
          </w:p>
        </w:tc>
        <w:tc>
          <w:tcPr>
            <w:tcW w:w="2321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地方一般公共财政预算收入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36.59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地方税收收入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29.54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增值税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8.80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企业所得税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4.28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81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契税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4.24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-35.6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81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、基金收入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57.68</w:t>
            </w:r>
          </w:p>
        </w:tc>
        <w:tc>
          <w:tcPr>
            <w:tcW w:w="2321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-40.7</w:t>
            </w:r>
          </w:p>
        </w:tc>
      </w:tr>
    </w:tbl>
    <w:p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</w:p>
    <w:p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楷体_GB2312"/>
          <w:color w:val="000000" w:themeColor="text1"/>
          <w:sz w:val="32"/>
          <w:szCs w:val="32"/>
        </w:rPr>
      </w:pPr>
    </w:p>
    <w:p>
      <w:pPr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</w:rPr>
        <w:t>金融：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年末全区金融机构本外币各项存款余额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530.05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比上年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10.05 %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。其中，个人存款余额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358.93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21.9 %。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单位存款余额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165.40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亿元，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下降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9.4 %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。全年金融机构本外币各项贷款余额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510.72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9.2 %，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其中，短期贷款余额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 xml:space="preserve">70.80 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13.3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%；中长期贷款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418.51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 xml:space="preserve">3.8 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jc w:val="center"/>
        <w:textAlignment w:val="auto"/>
        <w:rPr>
          <w:rFonts w:hint="eastAsia" w:ascii="Times New Roman" w:hAnsi="Times New Roman" w:eastAsia="黑体" w:cs="宋体"/>
          <w:color w:val="FF0000"/>
          <w:spacing w:val="11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jc w:val="center"/>
        <w:textAlignment w:val="auto"/>
        <w:rPr>
          <w:rFonts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  <w:t>八、科学技术和教育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科技：</w:t>
      </w:r>
      <w:r>
        <w:rPr>
          <w:rFonts w:hint="eastAsia" w:eastAsia="仿宋_GB2312"/>
          <w:color w:val="000000" w:themeColor="text1"/>
          <w:sz w:val="32"/>
          <w:szCs w:val="32"/>
        </w:rPr>
        <w:t>全年共安排区级科技项目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218</w:t>
      </w:r>
      <w:r>
        <w:rPr>
          <w:rFonts w:hint="eastAsia" w:eastAsia="仿宋_GB2312"/>
          <w:color w:val="000000" w:themeColor="text1"/>
          <w:sz w:val="32"/>
          <w:szCs w:val="32"/>
        </w:rPr>
        <w:t>项，其中：高新技术企业奖励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188</w:t>
      </w:r>
      <w:r>
        <w:rPr>
          <w:rFonts w:hint="eastAsia" w:eastAsia="仿宋_GB2312"/>
          <w:color w:val="000000" w:themeColor="text1"/>
          <w:sz w:val="32"/>
          <w:szCs w:val="32"/>
        </w:rPr>
        <w:t>项，科技孵化器补贴项目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 w:themeColor="text1"/>
          <w:sz w:val="32"/>
          <w:szCs w:val="32"/>
        </w:rPr>
        <w:t>项。争取国家科技部、省、市科技项目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191</w:t>
      </w:r>
      <w:r>
        <w:rPr>
          <w:rFonts w:hint="eastAsia" w:eastAsia="仿宋_GB2312"/>
          <w:color w:val="000000" w:themeColor="text1"/>
          <w:sz w:val="32"/>
          <w:szCs w:val="32"/>
        </w:rPr>
        <w:t>项，争取市级以上项目资金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1880</w:t>
      </w:r>
      <w:r>
        <w:rPr>
          <w:rFonts w:hint="eastAsia" w:eastAsia="仿宋_GB2312"/>
          <w:color w:val="000000" w:themeColor="text1"/>
          <w:sz w:val="32"/>
          <w:szCs w:val="32"/>
        </w:rPr>
        <w:t>万元，年度投入科技研究开发资金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1076</w:t>
      </w:r>
      <w:r>
        <w:rPr>
          <w:rFonts w:hint="eastAsia" w:eastAsia="仿宋_GB2312"/>
          <w:color w:val="000000" w:themeColor="text1"/>
          <w:sz w:val="32"/>
          <w:szCs w:val="32"/>
        </w:rPr>
        <w:t>万元（不含企业投入）。全年规模以上高新技术产业增加值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128.74</w:t>
      </w:r>
      <w:r>
        <w:rPr>
          <w:rFonts w:hint="eastAsia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11.3</w:t>
      </w:r>
      <w:r>
        <w:rPr>
          <w:rFonts w:hint="eastAsia" w:eastAsia="仿宋_GB2312"/>
          <w:color w:val="000000" w:themeColor="text1"/>
          <w:sz w:val="32"/>
          <w:szCs w:val="32"/>
        </w:rPr>
        <w:t>%，占</w:t>
      </w:r>
      <w:r>
        <w:rPr>
          <w:rFonts w:eastAsia="仿宋_GB2312"/>
          <w:color w:val="000000" w:themeColor="text1"/>
          <w:sz w:val="32"/>
          <w:szCs w:val="32"/>
        </w:rPr>
        <w:t>G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DP比重28.4%。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全年专利授权总量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3163</w:t>
      </w:r>
      <w:r>
        <w:rPr>
          <w:rFonts w:hint="eastAsia" w:ascii="仿宋_GB2312" w:eastAsia="仿宋_GB2312"/>
          <w:sz w:val="32"/>
          <w:szCs w:val="32"/>
        </w:rPr>
        <w:t>件，其中：发明专利授权量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114</w:t>
      </w:r>
      <w:r>
        <w:rPr>
          <w:rFonts w:hint="eastAsia" w:ascii="仿宋_GB2312" w:eastAsia="仿宋_GB2312"/>
          <w:sz w:val="32"/>
          <w:szCs w:val="32"/>
        </w:rPr>
        <w:t>件（同比增</w:t>
      </w:r>
      <w:r>
        <w:rPr>
          <w:rFonts w:hint="eastAsia" w:ascii="仿宋_GB2312" w:eastAsia="仿宋_GB2312"/>
          <w:sz w:val="32"/>
          <w:szCs w:val="32"/>
          <w:lang w:eastAsia="zh-CN"/>
        </w:rPr>
        <w:t>长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22.6%</w:t>
      </w:r>
      <w:r>
        <w:rPr>
          <w:rFonts w:hint="eastAsia" w:ascii="仿宋_GB2312" w:eastAsia="仿宋_GB2312"/>
          <w:sz w:val="32"/>
          <w:szCs w:val="32"/>
        </w:rPr>
        <w:t>），实用新型授权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2927</w:t>
      </w:r>
      <w:r>
        <w:rPr>
          <w:rFonts w:hint="eastAsia" w:ascii="仿宋_GB2312" w:eastAsia="仿宋_GB2312"/>
          <w:sz w:val="32"/>
          <w:szCs w:val="32"/>
        </w:rPr>
        <w:t>件，外观设计授权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122</w:t>
      </w:r>
      <w:r>
        <w:rPr>
          <w:rFonts w:hint="eastAsia" w:ascii="仿宋_GB2312" w:eastAsia="仿宋_GB2312"/>
          <w:sz w:val="32"/>
          <w:szCs w:val="32"/>
        </w:rPr>
        <w:t>件。高价值发明专利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/>
          <w:sz w:val="32"/>
          <w:szCs w:val="32"/>
        </w:rPr>
        <w:t>件，有效发明专利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388</w:t>
      </w:r>
      <w:r>
        <w:rPr>
          <w:rFonts w:hint="eastAsia" w:ascii="仿宋_GB2312" w:eastAsia="仿宋_GB2312"/>
          <w:sz w:val="32"/>
          <w:szCs w:val="32"/>
        </w:rPr>
        <w:t>件，PCT专利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件。每万人发明专利拥有量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6.31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596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</w:pPr>
      <w:r>
        <w:rPr>
          <w:rFonts w:hint="eastAsia" w:ascii="楷体_GB2312" w:eastAsia="楷体_GB2312"/>
          <w:color w:val="auto"/>
          <w:spacing w:val="-11"/>
          <w:sz w:val="32"/>
          <w:szCs w:val="32"/>
          <w:lang w:eastAsia="zh-CN"/>
        </w:rPr>
        <w:t>教育：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年末全区拥有普通中学3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所，在校生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20247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人；职业中学1所，在校生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2210人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；小学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所，在校生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34120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人；注册幼儿园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所，在园幼儿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17169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人。全区学校占地面积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261.72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万平方米，校舍建筑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  <w:lang w:val="en-US" w:eastAsia="zh-CN"/>
        </w:rPr>
        <w:t>96.42</w:t>
      </w:r>
      <w:r>
        <w:rPr>
          <w:rFonts w:hint="eastAsia" w:ascii="Times New Roman" w:hAnsi="Times New Roman" w:eastAsia="仿宋_GB2312"/>
          <w:color w:val="auto"/>
          <w:spacing w:val="-11"/>
          <w:sz w:val="32"/>
          <w:szCs w:val="32"/>
        </w:rPr>
        <w:t>万平方米。学龄儿童入学率100%，初中入学率100%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hint="eastAsia" w:ascii="Times New Roman" w:hAnsi="Times New Roman" w:cs="宋体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ascii="Times New Roman" w:hAnsi="Times New Roman" w:cs="宋体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：202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</w:rPr>
        <w:t>年各类学校数和在校学生数情况</w:t>
      </w:r>
    </w:p>
    <w:tbl>
      <w:tblPr>
        <w:tblStyle w:val="5"/>
        <w:tblpPr w:leftFromText="180" w:rightFromText="180" w:vertAnchor="text" w:horzAnchor="page" w:tblpX="1855" w:tblpY="182"/>
        <w:tblOverlap w:val="never"/>
        <w:tblW w:w="889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2"/>
        <w:gridCol w:w="1700"/>
        <w:gridCol w:w="1689"/>
        <w:gridCol w:w="174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7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年</w:t>
            </w:r>
          </w:p>
        </w:tc>
        <w:tc>
          <w:tcPr>
            <w:tcW w:w="1747" w:type="dxa"/>
            <w:tcBorders>
              <w:bottom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7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480" w:firstLineChars="2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学校总数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所</w:t>
            </w:r>
          </w:p>
        </w:tc>
        <w:tc>
          <w:tcPr>
            <w:tcW w:w="168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213</w:t>
            </w:r>
          </w:p>
        </w:tc>
        <w:tc>
          <w:tcPr>
            <w:tcW w:w="1747" w:type="dxa"/>
            <w:tcBorders>
              <w:top w:val="single" w:color="auto" w:sz="4" w:space="0"/>
            </w:tcBorders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中等职业学校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747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普通中学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747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幼儿园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130</w:t>
            </w:r>
          </w:p>
        </w:tc>
        <w:tc>
          <w:tcPr>
            <w:tcW w:w="1747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54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480" w:firstLineChars="2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在校学生总数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73746</w:t>
            </w:r>
          </w:p>
        </w:tc>
        <w:tc>
          <w:tcPr>
            <w:tcW w:w="1747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68611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中等职业学校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2210</w:t>
            </w:r>
          </w:p>
        </w:tc>
        <w:tc>
          <w:tcPr>
            <w:tcW w:w="1747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2072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普通中学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20247</w:t>
            </w:r>
          </w:p>
        </w:tc>
        <w:tc>
          <w:tcPr>
            <w:tcW w:w="1747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18271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小学生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>幼儿园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人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34120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17169</w:t>
            </w:r>
          </w:p>
        </w:tc>
        <w:tc>
          <w:tcPr>
            <w:tcW w:w="1747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32413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15855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黑体" w:cs="宋体"/>
          <w:color w:val="FF0000"/>
          <w:kern w:val="0"/>
          <w:sz w:val="32"/>
          <w:szCs w:val="32"/>
          <w:lang w:val="zh-CN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九、文体、广电和卫生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文化体育：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全区共有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个综合文化站，全年组织开展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文体活动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400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余场，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惠及群众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万余人次。举办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城乡文化交流及送戏下乡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演出等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余场。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组织开展了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第五届武汉蔡甸莲文化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蔡甸旅游文创产品设计大赛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后官湖半程马拉松线上赛、区第十届全民健身运动会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等大型文体活动。参加各级举办的各类比赛中，共获得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39枚金牌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枚银牌、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13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枚铜牌。</w:t>
      </w:r>
    </w:p>
    <w:p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广播电视：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年末全区数字电视在线用户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122373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户,其中在用用户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33832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户。全区广播电视综合覆盖率为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100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%。</w:t>
      </w:r>
    </w:p>
    <w:p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仿宋"/>
          <w:color w:val="000000" w:themeColor="text1"/>
          <w:sz w:val="32"/>
          <w:szCs w:val="32"/>
        </w:rPr>
        <w:t>公共卫生：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年末全区有各类公共卫生机构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385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个（含门诊部、诊所、医务室、社区卫生服务站），实有床位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2771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张，卫生技术人员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4179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人，其中中西执业（助理）医师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1146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 xml:space="preserve">人。全年诊疗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256.74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万人次，入院人数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6.19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万人，治愈率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99.5%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hint="eastAsia" w:ascii="Times New Roman" w:hAnsi="Times New Roman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cs="宋体"/>
          <w:kern w:val="0"/>
          <w:sz w:val="28"/>
          <w:szCs w:val="28"/>
        </w:rPr>
        <w:t>年</w:t>
      </w:r>
      <w:r>
        <w:rPr>
          <w:rFonts w:hint="eastAsia" w:ascii="Times New Roman" w:hAnsi="Times New Roman" w:cs="宋体"/>
          <w:kern w:val="0"/>
          <w:sz w:val="28"/>
          <w:szCs w:val="28"/>
          <w:lang w:eastAsia="zh-CN"/>
        </w:rPr>
        <w:t>蔡甸区</w:t>
      </w:r>
      <w:r>
        <w:rPr>
          <w:rFonts w:hint="eastAsia" w:ascii="Times New Roman" w:hAnsi="Times New Roman" w:cs="宋体"/>
          <w:kern w:val="0"/>
          <w:sz w:val="28"/>
          <w:szCs w:val="28"/>
        </w:rPr>
        <w:t>公共卫生事业情况</w:t>
      </w:r>
      <w:r>
        <w:rPr>
          <w:rFonts w:hint="eastAsia" w:ascii="Times New Roman" w:hAnsi="Times New Roman" w:cs="宋体"/>
          <w:kern w:val="0"/>
          <w:sz w:val="28"/>
          <w:szCs w:val="28"/>
          <w:lang w:eastAsia="zh-CN"/>
        </w:rPr>
        <w:t>统计表</w:t>
      </w:r>
    </w:p>
    <w:p>
      <w:pPr>
        <w:widowControl/>
        <w:shd w:val="clear" w:color="auto" w:fill="FFFFFF"/>
        <w:adjustRightInd w:val="0"/>
        <w:spacing w:beforeLines="50" w:line="200" w:lineRule="exact"/>
        <w:jc w:val="center"/>
        <w:rPr>
          <w:rFonts w:ascii="Times New Roman" w:hAnsi="Times New Roman" w:cs="宋体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801" w:tblpY="22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5"/>
        <w:gridCol w:w="1766"/>
        <w:gridCol w:w="16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指标</w:t>
            </w: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单位</w:t>
            </w:r>
          </w:p>
        </w:tc>
        <w:tc>
          <w:tcPr>
            <w:tcW w:w="16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2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卫生事业机构数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</w:t>
            </w:r>
          </w:p>
        </w:tc>
        <w:tc>
          <w:tcPr>
            <w:tcW w:w="176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68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ind w:firstLine="240" w:firstLineChars="100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医院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ind w:firstLine="480" w:firstLineChars="200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卫生院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     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疾病预防控制中心（防疫站）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妇幼保健院（所、站）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卫生机构床位数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张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2771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医院床位数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 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张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2121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卫生技术人员数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人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4179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25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执业（助理）医师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1766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人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1146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502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40" w:lineRule="auto"/>
              <w:jc w:val="both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注册护士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                   </w:t>
            </w:r>
          </w:p>
        </w:tc>
        <w:tc>
          <w:tcPr>
            <w:tcW w:w="176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人</w:t>
            </w:r>
          </w:p>
        </w:tc>
        <w:tc>
          <w:tcPr>
            <w:tcW w:w="168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1539</w:t>
            </w:r>
          </w:p>
        </w:tc>
      </w:tr>
    </w:tbl>
    <w:p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十、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</w:rPr>
        <w:t>居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民生活和社会保障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居民生活：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全年城镇常住居民人均可支配收入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43346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6.0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。农村常住居民人均可支配收入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27427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元，增长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8.0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。城镇居民人均生活消费支出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29966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％;农村居民人均消费支出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20401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7.9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％。</w:t>
      </w:r>
    </w:p>
    <w:p>
      <w:pPr>
        <w:spacing w:line="240" w:lineRule="auto"/>
        <w:ind w:firstLine="420" w:firstLineChars="200"/>
        <w:rPr>
          <w:rFonts w:hint="eastAsia" w:ascii="Times New Roman" w:hAnsi="Times New Roman" w:eastAsia="仿宋_GB2312"/>
          <w:color w:val="FF0000"/>
          <w:sz w:val="32"/>
          <w:szCs w:val="32"/>
          <w:lang w:eastAsia="zh-CN"/>
        </w:rPr>
      </w:pPr>
      <w:r>
        <w:pict>
          <v:shape id="_x0000_i1028" o:spt="75" type="#_x0000_t75" style="height:210.7pt;width:401pt;" filled="f" o:preferrelative="t" stroked="f" coordsize="21600,21600" o:gfxdata="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</w:pict>
      </w:r>
    </w:p>
    <w:p>
      <w:pPr>
        <w:spacing w:line="560" w:lineRule="exact"/>
        <w:ind w:firstLine="640" w:firstLineChars="200"/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社会保障：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年末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城镇企业职工基本养老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、基本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医疗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失业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工伤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生育保险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人数分别为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131021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17223人，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70392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人，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115897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85040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人。参加城乡居民社会养老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城乡居民医疗保险人数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分别为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22.58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30.67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居民最低生活保障已保人数为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8397</w:t>
      </w:r>
      <w:r>
        <w:rPr>
          <w:rFonts w:hint="eastAsia" w:ascii="仿宋_GB2312" w:eastAsia="仿宋_GB2312"/>
          <w:sz w:val="32"/>
          <w:szCs w:val="32"/>
        </w:rPr>
        <w:t>人，比去年减少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1141人</w:t>
      </w:r>
      <w:r>
        <w:rPr>
          <w:rFonts w:hint="eastAsia" w:ascii="仿宋_GB2312" w:eastAsia="仿宋_GB2312"/>
          <w:sz w:val="32"/>
          <w:szCs w:val="32"/>
        </w:rPr>
        <w:t>。其中：城镇居民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1371</w:t>
      </w:r>
      <w:r>
        <w:rPr>
          <w:rFonts w:hint="eastAsia" w:ascii="仿宋_GB2312" w:eastAsia="仿宋_GB2312"/>
          <w:sz w:val="32"/>
          <w:szCs w:val="32"/>
        </w:rPr>
        <w:t>人，减少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197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农村居民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7026</w:t>
      </w:r>
      <w:r>
        <w:rPr>
          <w:rFonts w:hint="eastAsia" w:ascii="仿宋_GB2312" w:eastAsia="仿宋_GB2312"/>
          <w:sz w:val="32"/>
          <w:szCs w:val="32"/>
        </w:rPr>
        <w:t>人，减少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944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年末社会福利院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家，</w:t>
      </w:r>
      <w:r>
        <w:rPr>
          <w:rFonts w:hint="eastAsia" w:ascii="仿宋_GB2312" w:eastAsia="仿宋_GB2312"/>
          <w:sz w:val="32"/>
          <w:szCs w:val="32"/>
          <w:lang w:eastAsia="zh-CN"/>
        </w:rPr>
        <w:t>特困人员救助供养机构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家，</w:t>
      </w:r>
      <w:r>
        <w:rPr>
          <w:rFonts w:hint="eastAsia" w:ascii="仿宋_GB2312" w:eastAsia="仿宋_GB2312"/>
          <w:sz w:val="32"/>
          <w:szCs w:val="32"/>
          <w:lang w:eastAsia="zh-CN"/>
        </w:rPr>
        <w:t>其他各类</w:t>
      </w:r>
      <w:r>
        <w:rPr>
          <w:rFonts w:hint="eastAsia" w:ascii="仿宋_GB2312" w:eastAsia="仿宋_GB2312"/>
          <w:sz w:val="32"/>
          <w:szCs w:val="32"/>
        </w:rPr>
        <w:t>养老机构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（含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家社区养老院）</w:t>
      </w:r>
      <w:r>
        <w:rPr>
          <w:rFonts w:hint="eastAsia" w:ascii="仿宋_GB2312" w:eastAsia="仿宋_GB2312"/>
          <w:sz w:val="32"/>
          <w:szCs w:val="32"/>
        </w:rPr>
        <w:t>，共拥有床位数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7800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eastAsia="黑体" w:cs="宋体"/>
          <w:color w:val="FF0000"/>
          <w:kern w:val="0"/>
          <w:sz w:val="32"/>
          <w:szCs w:val="32"/>
          <w:lang w:val="zh-CN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十一、资源和环境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资源：全年全社会能源消费量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76.13</w:t>
      </w:r>
      <w:r>
        <w:rPr>
          <w:rFonts w:hint="eastAsia" w:ascii="仿宋_GB2312" w:eastAsia="仿宋_GB2312"/>
          <w:sz w:val="32"/>
          <w:szCs w:val="32"/>
        </w:rPr>
        <w:t>万吨标准煤，全区单位GDP能耗比去年下降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2.2%</w:t>
      </w:r>
      <w:r>
        <w:rPr>
          <w:rFonts w:hint="eastAsia" w:ascii="仿宋_GB2312" w:eastAsia="仿宋_GB2312"/>
          <w:sz w:val="32"/>
          <w:szCs w:val="32"/>
        </w:rPr>
        <w:t>，全区单位GDP能耗（可比价）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0.1799</w:t>
      </w:r>
      <w:r>
        <w:rPr>
          <w:rFonts w:hint="eastAsia" w:ascii="仿宋_GB2312" w:eastAsia="仿宋_GB2312"/>
          <w:sz w:val="32"/>
          <w:szCs w:val="32"/>
        </w:rPr>
        <w:t>吨标准煤/万元。其中，规模以上工业能源消耗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15.31</w:t>
      </w:r>
      <w:r>
        <w:rPr>
          <w:rFonts w:hint="eastAsia" w:ascii="仿宋_GB2312" w:eastAsia="仿宋_GB2312"/>
          <w:sz w:val="32"/>
          <w:szCs w:val="32"/>
        </w:rPr>
        <w:t>万吨标准煤，单位工业增加值能耗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0.1265</w:t>
      </w:r>
      <w:r>
        <w:rPr>
          <w:rFonts w:hint="eastAsia" w:ascii="仿宋_GB2312" w:eastAsia="仿宋_GB2312"/>
          <w:sz w:val="32"/>
          <w:szCs w:val="32"/>
        </w:rPr>
        <w:t>吨标准煤/万元，单位工业增加值能耗同比下降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8.3%。</w:t>
      </w:r>
    </w:p>
    <w:p>
      <w:pPr>
        <w:ind w:firstLine="600" w:firstLineChars="200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eastAsia="zh-CN"/>
        </w:rPr>
        <w:t>全年用电量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21.95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亿千瓦时，比上年增长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14.2%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，其中，全行业用电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16.03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亿千瓦时，增长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10.8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%；城乡居民生活用电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5.93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亿千瓦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时，增长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24.6%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全区用水量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19035</w:t>
      </w:r>
      <w:r>
        <w:rPr>
          <w:rFonts w:hint="eastAsia" w:eastAsia="仿宋_GB2312"/>
          <w:sz w:val="32"/>
          <w:szCs w:val="32"/>
          <w:shd w:val="clear" w:color="auto" w:fill="FFFFFF"/>
        </w:rPr>
        <w:t>万吨，单位生产总值用水量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46.96</w:t>
      </w:r>
      <w:r>
        <w:rPr>
          <w:rFonts w:hint="eastAsia" w:eastAsia="仿宋_GB2312"/>
          <w:sz w:val="32"/>
          <w:szCs w:val="32"/>
          <w:shd w:val="clear" w:color="auto" w:fill="FFFFFF"/>
        </w:rPr>
        <w:t>吨/万元。年末区级自来水厂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1个</w:t>
      </w:r>
      <w:r>
        <w:rPr>
          <w:rFonts w:hint="eastAsia" w:eastAsia="仿宋_GB2312"/>
          <w:sz w:val="32"/>
          <w:szCs w:val="32"/>
          <w:shd w:val="clear" w:color="auto" w:fill="FFFFFF"/>
        </w:rPr>
        <w:t>，日供水能力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  <w:shd w:val="clear" w:color="auto" w:fill="FFFFFF"/>
        </w:rPr>
        <w:t>万吨，全年自来水供水量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2722</w:t>
      </w:r>
      <w:r>
        <w:rPr>
          <w:rFonts w:hint="eastAsia" w:eastAsia="仿宋_GB2312"/>
          <w:sz w:val="32"/>
          <w:szCs w:val="32"/>
          <w:shd w:val="clear" w:color="auto" w:fill="FFFFFF"/>
        </w:rPr>
        <w:t>万吨，其中居民家庭用水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1230.6</w:t>
      </w:r>
      <w:r>
        <w:rPr>
          <w:rFonts w:hint="eastAsia" w:eastAsia="仿宋_GB2312"/>
          <w:sz w:val="32"/>
          <w:szCs w:val="32"/>
          <w:shd w:val="clear" w:color="auto" w:fill="FFFFFF"/>
        </w:rPr>
        <w:t>万吨。农村饮水安全普及率为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eastAsia="仿宋_GB2312"/>
          <w:sz w:val="32"/>
          <w:szCs w:val="32"/>
          <w:shd w:val="clear" w:color="auto" w:fill="FFFFFF"/>
        </w:rPr>
        <w:t>%，村镇饮用水卫生合格率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100%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eastAsia="仿宋_GB2312"/>
          <w:sz w:val="32"/>
          <w:szCs w:val="32"/>
          <w:shd w:val="clear" w:color="auto" w:fill="FFFFFF"/>
        </w:rPr>
        <w:t>城市污水处理厂日平均处理量为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9.47</w:t>
      </w:r>
      <w:r>
        <w:rPr>
          <w:rFonts w:hint="eastAsia" w:eastAsia="仿宋_GB2312"/>
          <w:sz w:val="32"/>
          <w:szCs w:val="32"/>
          <w:shd w:val="clear" w:color="auto" w:fill="FFFFFF"/>
        </w:rPr>
        <w:t>万吨。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供应天燃气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7246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万立方米。</w:t>
      </w:r>
    </w:p>
    <w:p>
      <w:pPr>
        <w:ind w:firstLine="640" w:firstLineChars="200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环境：</w:t>
      </w:r>
      <w:r>
        <w:rPr>
          <w:rFonts w:hint="eastAsia" w:eastAsia="仿宋_GB2312"/>
          <w:sz w:val="32"/>
          <w:szCs w:val="32"/>
          <w:shd w:val="clear" w:color="auto" w:fill="FFFFFF"/>
        </w:rPr>
        <w:t>工业废水排放处理达标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100%</w:t>
      </w:r>
      <w:r>
        <w:rPr>
          <w:rFonts w:hint="eastAsia" w:eastAsia="仿宋_GB2312"/>
          <w:sz w:val="32"/>
          <w:szCs w:val="32"/>
          <w:shd w:val="clear" w:color="auto" w:fill="FFFFFF"/>
        </w:rPr>
        <w:t>，工业废气排放处理达标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100%</w:t>
      </w:r>
      <w:r>
        <w:rPr>
          <w:rFonts w:hint="eastAsia" w:eastAsia="仿宋_GB2312"/>
          <w:sz w:val="32"/>
          <w:szCs w:val="32"/>
          <w:shd w:val="clear" w:color="auto" w:fill="FFFFFF"/>
        </w:rPr>
        <w:t>，工业固体废弃物综合利用率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93.6</w:t>
      </w:r>
      <w:r>
        <w:rPr>
          <w:rFonts w:hint="eastAsia" w:eastAsia="仿宋_GB2312"/>
          <w:sz w:val="32"/>
          <w:szCs w:val="32"/>
          <w:shd w:val="clear" w:color="auto" w:fill="FFFFFF"/>
        </w:rPr>
        <w:t>%，可吸入颗粒物年均值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54</w:t>
      </w:r>
      <w:r>
        <w:rPr>
          <w:rFonts w:hint="eastAsia" w:eastAsia="仿宋_GB2312"/>
          <w:sz w:val="32"/>
          <w:szCs w:val="32"/>
          <w:shd w:val="clear" w:color="auto" w:fill="FFFFFF"/>
        </w:rPr>
        <w:t>微克/立方米，细颗粒物年均值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  <w:shd w:val="clear" w:color="auto" w:fill="FFFFFF"/>
        </w:rPr>
        <w:t>微克/立方米，二氧化硫年均值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  <w:shd w:val="clear" w:color="auto" w:fill="FFFFFF"/>
        </w:rPr>
        <w:t>微克/立方米，城区空气质量优良以上天数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323</w:t>
      </w:r>
      <w:r>
        <w:rPr>
          <w:rFonts w:hint="eastAsia" w:eastAsia="仿宋_GB2312"/>
          <w:sz w:val="32"/>
          <w:szCs w:val="32"/>
          <w:shd w:val="clear" w:color="auto" w:fill="FFFFFF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年末拥有环卫作业车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354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辆，清扫保洁服务面积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1253.57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万平方米，城关垃圾处理量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130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吨/日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，全区垃圾处理量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520吨/日，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垃圾处理率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%。</w:t>
      </w:r>
      <w:r>
        <w:rPr>
          <w:rFonts w:hint="default" w:ascii="仿宋_GB2312" w:hAnsi="仿宋_GB2312" w:eastAsia="仿宋_GB2312" w:cs="仿宋_GB2312"/>
          <w:sz w:val="32"/>
          <w:szCs w:val="32"/>
        </w:rPr>
        <w:t>改造农村户厕</w:t>
      </w:r>
      <w:r>
        <w:rPr>
          <w:rFonts w:hint="default" w:ascii="Times New Roman" w:hAnsi="Times New Roman" w:eastAsia="仿宋" w:cs="仿宋"/>
          <w:color w:val="000000" w:themeColor="text1"/>
          <w:sz w:val="32"/>
          <w:szCs w:val="32"/>
        </w:rPr>
        <w:t>450</w:t>
      </w:r>
      <w:r>
        <w:rPr>
          <w:rFonts w:hint="default" w:ascii="仿宋_GB2312" w:hAnsi="仿宋_GB2312" w:eastAsia="仿宋_GB2312" w:cs="仿宋_GB2312"/>
          <w:sz w:val="32"/>
          <w:szCs w:val="32"/>
        </w:rPr>
        <w:t>座，新改建农村无害化公厕</w:t>
      </w:r>
      <w:r>
        <w:rPr>
          <w:rFonts w:hint="default" w:ascii="Times New Roman" w:hAnsi="Times New Roman" w:eastAsia="仿宋" w:cs="仿宋"/>
          <w:color w:val="000000" w:themeColor="text1"/>
          <w:sz w:val="32"/>
          <w:szCs w:val="32"/>
        </w:rPr>
        <w:t>245</w:t>
      </w:r>
      <w:r>
        <w:rPr>
          <w:rFonts w:hint="default" w:ascii="仿宋_GB2312" w:hAnsi="仿宋_GB2312" w:eastAsia="仿宋_GB2312" w:cs="仿宋_GB2312"/>
          <w:sz w:val="32"/>
          <w:szCs w:val="32"/>
        </w:rPr>
        <w:t>座。</w:t>
      </w:r>
    </w:p>
    <w:p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color w:val="FF0000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color w:val="FF0000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color w:val="FF0000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color w:val="FF0000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color w:val="FF0000"/>
          <w:sz w:val="24"/>
        </w:rPr>
      </w:pPr>
    </w:p>
    <w:p>
      <w:pPr>
        <w:spacing w:line="440" w:lineRule="exact"/>
        <w:ind w:left="480" w:hanging="480" w:hanging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本公报所列数据为快报数，最终核实数以当年《蔡甸统计年鉴》为准。</w:t>
      </w:r>
    </w:p>
    <w:p>
      <w:pPr>
        <w:spacing w:line="44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资料来源：本公报中就业、社会保障等相关数据来自区人社局；市场主体、专利等相关数据来自区市场监管局；农业经营主体、农业机械动力、农村户（公）厕等相关数据来自区农业农村局；土地流转面积数据来自于区农经中心；保障性住房等相关数据来自区住建局；交通运输等相关数据来自区交通运输局；邮政通信等相关数据来自区邮政局、区电信公司、移动公司、联通公司；旅游、文化体育等相关数据来自区文旅局；对外经济等相关数据来自区商务局；财税等相关数据来自区财政局；金融等相关数据来自人行蔡甸支行；科技等相关数据来自区科经局；教育等相关数据来自区教育局；广播电视等相关数据来自于区融媒体中心</w:t>
      </w:r>
      <w:r>
        <w:rPr>
          <w:rFonts w:hint="eastAsia" w:ascii="仿宋" w:hAnsi="仿宋" w:eastAsia="仿宋" w:cs="仿宋"/>
          <w:sz w:val="24"/>
          <w:lang w:eastAsia="zh-CN"/>
        </w:rPr>
        <w:t>、湖北广电网络蔡甸分公司</w:t>
      </w:r>
      <w:r>
        <w:rPr>
          <w:rFonts w:hint="eastAsia" w:ascii="仿宋" w:hAnsi="仿宋" w:eastAsia="仿宋" w:cs="仿宋"/>
          <w:sz w:val="24"/>
        </w:rPr>
        <w:t>；公共卫生等相关数据来自区卫健局；医疗保险、生育保险等相关数据来自区医保局；低保、社会服务等相关数据来自区民政局；</w:t>
      </w:r>
      <w:r>
        <w:rPr>
          <w:rFonts w:hint="eastAsia" w:ascii="仿宋" w:hAnsi="仿宋" w:eastAsia="仿宋" w:cs="仿宋"/>
          <w:sz w:val="24"/>
          <w:lang w:eastAsia="zh-CN"/>
        </w:rPr>
        <w:t>用电量来自区供电公司；</w:t>
      </w:r>
      <w:r>
        <w:rPr>
          <w:rFonts w:hint="eastAsia" w:ascii="仿宋" w:hAnsi="仿宋" w:eastAsia="仿宋" w:cs="仿宋"/>
          <w:sz w:val="24"/>
        </w:rPr>
        <w:t>供用水、污水处理等相关数据来自区水务和湖泊局</w:t>
      </w:r>
      <w:r>
        <w:rPr>
          <w:rFonts w:hint="eastAsia" w:ascii="仿宋" w:hAnsi="仿宋" w:eastAsia="仿宋" w:cs="仿宋"/>
          <w:sz w:val="24"/>
          <w:lang w:eastAsia="zh-CN"/>
        </w:rPr>
        <w:t>、武汉市水务集团蔡甸自来水有限公司</w:t>
      </w:r>
      <w:r>
        <w:rPr>
          <w:rFonts w:hint="eastAsia" w:ascii="仿宋" w:hAnsi="仿宋" w:eastAsia="仿宋" w:cs="仿宋"/>
          <w:sz w:val="24"/>
        </w:rPr>
        <w:t>；天然气、环卫等相关数据来自区城管执法局；生态环境等相关数据来自生态环境分局；其它数据均来自区统计局。</w:t>
      </w: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720" w:num="1"/>
      <w:docGrid w:type="lines" w:linePitch="286" w:charSpace="65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2" o:spid="_x0000_s4097" o:spt="202" type="#_x0000_t202" style="position:absolute;left:0pt;margin-top:0pt;height:10.35pt;width:9.0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1" o:spid="_x0000_s4098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6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3Y2I0MDgzNDA1MGI3OWUyNzk2NzRmNjg1ZmJiNjAifQ=="/>
  </w:docVars>
  <w:rsids>
    <w:rsidRoot w:val="0011291C"/>
    <w:rsid w:val="0001734F"/>
    <w:rsid w:val="00030540"/>
    <w:rsid w:val="00086B82"/>
    <w:rsid w:val="00097A9D"/>
    <w:rsid w:val="000C2AAB"/>
    <w:rsid w:val="000E0ECC"/>
    <w:rsid w:val="000F53FA"/>
    <w:rsid w:val="000F6520"/>
    <w:rsid w:val="000F7B9E"/>
    <w:rsid w:val="0011291C"/>
    <w:rsid w:val="00116255"/>
    <w:rsid w:val="00122F1C"/>
    <w:rsid w:val="00127BC8"/>
    <w:rsid w:val="0015204B"/>
    <w:rsid w:val="00163502"/>
    <w:rsid w:val="00164803"/>
    <w:rsid w:val="00165F50"/>
    <w:rsid w:val="00182663"/>
    <w:rsid w:val="00184C8B"/>
    <w:rsid w:val="001A6477"/>
    <w:rsid w:val="001A7564"/>
    <w:rsid w:val="001C7D6B"/>
    <w:rsid w:val="001D0891"/>
    <w:rsid w:val="001D790D"/>
    <w:rsid w:val="001E0FB5"/>
    <w:rsid w:val="001E1567"/>
    <w:rsid w:val="001F27FF"/>
    <w:rsid w:val="00200BBF"/>
    <w:rsid w:val="0022260C"/>
    <w:rsid w:val="00241BD5"/>
    <w:rsid w:val="0025583E"/>
    <w:rsid w:val="00262612"/>
    <w:rsid w:val="002746C3"/>
    <w:rsid w:val="0027623D"/>
    <w:rsid w:val="002A00C6"/>
    <w:rsid w:val="002E3529"/>
    <w:rsid w:val="002E6547"/>
    <w:rsid w:val="00302223"/>
    <w:rsid w:val="00303707"/>
    <w:rsid w:val="003052AA"/>
    <w:rsid w:val="00307F77"/>
    <w:rsid w:val="0031473B"/>
    <w:rsid w:val="00331327"/>
    <w:rsid w:val="0036486D"/>
    <w:rsid w:val="00364FAF"/>
    <w:rsid w:val="00375BB2"/>
    <w:rsid w:val="00394080"/>
    <w:rsid w:val="00395F8F"/>
    <w:rsid w:val="003A1611"/>
    <w:rsid w:val="003B0BB9"/>
    <w:rsid w:val="003C68B3"/>
    <w:rsid w:val="00401AA3"/>
    <w:rsid w:val="004071E0"/>
    <w:rsid w:val="00420F99"/>
    <w:rsid w:val="00422A74"/>
    <w:rsid w:val="00422F9F"/>
    <w:rsid w:val="00432380"/>
    <w:rsid w:val="004432F2"/>
    <w:rsid w:val="00461DD6"/>
    <w:rsid w:val="00472B7B"/>
    <w:rsid w:val="004A146E"/>
    <w:rsid w:val="004A199C"/>
    <w:rsid w:val="004A5F5C"/>
    <w:rsid w:val="004C523A"/>
    <w:rsid w:val="004C5A3E"/>
    <w:rsid w:val="004C7DC7"/>
    <w:rsid w:val="004E4FD4"/>
    <w:rsid w:val="004F64F4"/>
    <w:rsid w:val="00500B3B"/>
    <w:rsid w:val="0050794A"/>
    <w:rsid w:val="005102C1"/>
    <w:rsid w:val="005155EF"/>
    <w:rsid w:val="005250CE"/>
    <w:rsid w:val="005567AA"/>
    <w:rsid w:val="005606DC"/>
    <w:rsid w:val="005644B4"/>
    <w:rsid w:val="00591C6D"/>
    <w:rsid w:val="005A1406"/>
    <w:rsid w:val="005A675B"/>
    <w:rsid w:val="005C6E83"/>
    <w:rsid w:val="005D72AA"/>
    <w:rsid w:val="005E7860"/>
    <w:rsid w:val="00605491"/>
    <w:rsid w:val="00610253"/>
    <w:rsid w:val="0063302A"/>
    <w:rsid w:val="006424F6"/>
    <w:rsid w:val="00646A3A"/>
    <w:rsid w:val="00663F14"/>
    <w:rsid w:val="00667959"/>
    <w:rsid w:val="006A2677"/>
    <w:rsid w:val="006A415D"/>
    <w:rsid w:val="006C18B4"/>
    <w:rsid w:val="006D481E"/>
    <w:rsid w:val="006D637E"/>
    <w:rsid w:val="006E252C"/>
    <w:rsid w:val="007033FC"/>
    <w:rsid w:val="00720319"/>
    <w:rsid w:val="00732E1F"/>
    <w:rsid w:val="00741409"/>
    <w:rsid w:val="00745709"/>
    <w:rsid w:val="007672F9"/>
    <w:rsid w:val="00793CD3"/>
    <w:rsid w:val="00795812"/>
    <w:rsid w:val="007B0A8E"/>
    <w:rsid w:val="007C4C5F"/>
    <w:rsid w:val="007D2907"/>
    <w:rsid w:val="007D3A1A"/>
    <w:rsid w:val="00804BEF"/>
    <w:rsid w:val="008054C4"/>
    <w:rsid w:val="00810AF3"/>
    <w:rsid w:val="00822EC6"/>
    <w:rsid w:val="00834508"/>
    <w:rsid w:val="00842E55"/>
    <w:rsid w:val="00854192"/>
    <w:rsid w:val="0086173B"/>
    <w:rsid w:val="00867814"/>
    <w:rsid w:val="00874729"/>
    <w:rsid w:val="008868FA"/>
    <w:rsid w:val="008A31D4"/>
    <w:rsid w:val="008B3750"/>
    <w:rsid w:val="008B5F73"/>
    <w:rsid w:val="008B6A90"/>
    <w:rsid w:val="008C2C02"/>
    <w:rsid w:val="008C4412"/>
    <w:rsid w:val="008D387C"/>
    <w:rsid w:val="008E1C21"/>
    <w:rsid w:val="008F31AC"/>
    <w:rsid w:val="008F375A"/>
    <w:rsid w:val="009017AD"/>
    <w:rsid w:val="00903AD9"/>
    <w:rsid w:val="0091176C"/>
    <w:rsid w:val="009403F6"/>
    <w:rsid w:val="0094049E"/>
    <w:rsid w:val="00944F7A"/>
    <w:rsid w:val="00956FF3"/>
    <w:rsid w:val="009612E4"/>
    <w:rsid w:val="00964674"/>
    <w:rsid w:val="0098521C"/>
    <w:rsid w:val="00991902"/>
    <w:rsid w:val="009B2D50"/>
    <w:rsid w:val="009C64AD"/>
    <w:rsid w:val="009E45A4"/>
    <w:rsid w:val="009F15F1"/>
    <w:rsid w:val="00A036F4"/>
    <w:rsid w:val="00A1293E"/>
    <w:rsid w:val="00A228F0"/>
    <w:rsid w:val="00A25029"/>
    <w:rsid w:val="00A32ABB"/>
    <w:rsid w:val="00A3559B"/>
    <w:rsid w:val="00A35681"/>
    <w:rsid w:val="00A47524"/>
    <w:rsid w:val="00A47BB2"/>
    <w:rsid w:val="00A532A8"/>
    <w:rsid w:val="00A548FA"/>
    <w:rsid w:val="00A55ACC"/>
    <w:rsid w:val="00A575C1"/>
    <w:rsid w:val="00A611D8"/>
    <w:rsid w:val="00A64951"/>
    <w:rsid w:val="00A80F30"/>
    <w:rsid w:val="00A81F11"/>
    <w:rsid w:val="00A82AAA"/>
    <w:rsid w:val="00A92689"/>
    <w:rsid w:val="00AA1987"/>
    <w:rsid w:val="00AB5A52"/>
    <w:rsid w:val="00AC447A"/>
    <w:rsid w:val="00AC568B"/>
    <w:rsid w:val="00AC6752"/>
    <w:rsid w:val="00AE0DF2"/>
    <w:rsid w:val="00AE4350"/>
    <w:rsid w:val="00AF5890"/>
    <w:rsid w:val="00B01704"/>
    <w:rsid w:val="00B063B9"/>
    <w:rsid w:val="00B42353"/>
    <w:rsid w:val="00B621C6"/>
    <w:rsid w:val="00B6557A"/>
    <w:rsid w:val="00B92C9B"/>
    <w:rsid w:val="00BC5D6E"/>
    <w:rsid w:val="00BD5E19"/>
    <w:rsid w:val="00BF6C01"/>
    <w:rsid w:val="00BF7122"/>
    <w:rsid w:val="00C00F91"/>
    <w:rsid w:val="00C061FF"/>
    <w:rsid w:val="00C06864"/>
    <w:rsid w:val="00C25C39"/>
    <w:rsid w:val="00C3695A"/>
    <w:rsid w:val="00C45E3E"/>
    <w:rsid w:val="00C6296C"/>
    <w:rsid w:val="00C81E94"/>
    <w:rsid w:val="00C90BE8"/>
    <w:rsid w:val="00C95EA7"/>
    <w:rsid w:val="00CD2433"/>
    <w:rsid w:val="00D02C59"/>
    <w:rsid w:val="00D1498D"/>
    <w:rsid w:val="00D31499"/>
    <w:rsid w:val="00D31C49"/>
    <w:rsid w:val="00D3309E"/>
    <w:rsid w:val="00D40D62"/>
    <w:rsid w:val="00D41FB6"/>
    <w:rsid w:val="00D4208C"/>
    <w:rsid w:val="00D513CC"/>
    <w:rsid w:val="00D519A3"/>
    <w:rsid w:val="00D803CF"/>
    <w:rsid w:val="00D947D1"/>
    <w:rsid w:val="00D97A68"/>
    <w:rsid w:val="00DB0B08"/>
    <w:rsid w:val="00DB2EF7"/>
    <w:rsid w:val="00DB4372"/>
    <w:rsid w:val="00DB67CC"/>
    <w:rsid w:val="00DB6A72"/>
    <w:rsid w:val="00DD2B98"/>
    <w:rsid w:val="00DD39E8"/>
    <w:rsid w:val="00DF2D0B"/>
    <w:rsid w:val="00E1697E"/>
    <w:rsid w:val="00E210C0"/>
    <w:rsid w:val="00E21915"/>
    <w:rsid w:val="00E26A29"/>
    <w:rsid w:val="00E31B6A"/>
    <w:rsid w:val="00E3273F"/>
    <w:rsid w:val="00E51B59"/>
    <w:rsid w:val="00E55446"/>
    <w:rsid w:val="00E61485"/>
    <w:rsid w:val="00E633BF"/>
    <w:rsid w:val="00E816A2"/>
    <w:rsid w:val="00E8227E"/>
    <w:rsid w:val="00E82688"/>
    <w:rsid w:val="00EA38A6"/>
    <w:rsid w:val="00EA5359"/>
    <w:rsid w:val="00EF7CD9"/>
    <w:rsid w:val="00F006ED"/>
    <w:rsid w:val="00F029DB"/>
    <w:rsid w:val="00F04362"/>
    <w:rsid w:val="00F1543C"/>
    <w:rsid w:val="00F25195"/>
    <w:rsid w:val="00F51421"/>
    <w:rsid w:val="00F77E2A"/>
    <w:rsid w:val="00F8305D"/>
    <w:rsid w:val="00F93107"/>
    <w:rsid w:val="00FA1C81"/>
    <w:rsid w:val="00FB2587"/>
    <w:rsid w:val="00FB4A31"/>
    <w:rsid w:val="00FB7149"/>
    <w:rsid w:val="00FC3267"/>
    <w:rsid w:val="00FD135E"/>
    <w:rsid w:val="00FE2F02"/>
    <w:rsid w:val="0156680A"/>
    <w:rsid w:val="0168325F"/>
    <w:rsid w:val="01900F85"/>
    <w:rsid w:val="01D97C75"/>
    <w:rsid w:val="02206D97"/>
    <w:rsid w:val="024327E1"/>
    <w:rsid w:val="025E45D4"/>
    <w:rsid w:val="02AB2BFC"/>
    <w:rsid w:val="02E04395"/>
    <w:rsid w:val="02E077F7"/>
    <w:rsid w:val="03580068"/>
    <w:rsid w:val="04CF23FB"/>
    <w:rsid w:val="04EB613F"/>
    <w:rsid w:val="0567710B"/>
    <w:rsid w:val="05FD46B7"/>
    <w:rsid w:val="06245BC4"/>
    <w:rsid w:val="06A02D7C"/>
    <w:rsid w:val="06D33537"/>
    <w:rsid w:val="075F2FBD"/>
    <w:rsid w:val="07BD6B04"/>
    <w:rsid w:val="082F104B"/>
    <w:rsid w:val="083056DD"/>
    <w:rsid w:val="08E07D08"/>
    <w:rsid w:val="09221B52"/>
    <w:rsid w:val="09FD2599"/>
    <w:rsid w:val="0A560A6E"/>
    <w:rsid w:val="0A6C5FCB"/>
    <w:rsid w:val="0A876207"/>
    <w:rsid w:val="0AA55DF2"/>
    <w:rsid w:val="0AC15E66"/>
    <w:rsid w:val="0AC358AA"/>
    <w:rsid w:val="0B136E4C"/>
    <w:rsid w:val="0B8330E4"/>
    <w:rsid w:val="0BA223E7"/>
    <w:rsid w:val="0C9F1861"/>
    <w:rsid w:val="0CAA5073"/>
    <w:rsid w:val="0CB2647C"/>
    <w:rsid w:val="0CBC170B"/>
    <w:rsid w:val="0DC154A3"/>
    <w:rsid w:val="0E2B229D"/>
    <w:rsid w:val="0F3A02FE"/>
    <w:rsid w:val="0F554EFB"/>
    <w:rsid w:val="0F75705E"/>
    <w:rsid w:val="0F8F6429"/>
    <w:rsid w:val="0FB51E16"/>
    <w:rsid w:val="0FB8208E"/>
    <w:rsid w:val="109962AB"/>
    <w:rsid w:val="110401F1"/>
    <w:rsid w:val="110E3E23"/>
    <w:rsid w:val="1134315E"/>
    <w:rsid w:val="12151368"/>
    <w:rsid w:val="122576D9"/>
    <w:rsid w:val="128E2E52"/>
    <w:rsid w:val="12FE1529"/>
    <w:rsid w:val="13246A92"/>
    <w:rsid w:val="138D18C1"/>
    <w:rsid w:val="13AF5EDC"/>
    <w:rsid w:val="13C971FF"/>
    <w:rsid w:val="13E3586B"/>
    <w:rsid w:val="13E9548F"/>
    <w:rsid w:val="153D74F6"/>
    <w:rsid w:val="15AD354B"/>
    <w:rsid w:val="15B91E83"/>
    <w:rsid w:val="16490889"/>
    <w:rsid w:val="1736534F"/>
    <w:rsid w:val="176743BD"/>
    <w:rsid w:val="177976C3"/>
    <w:rsid w:val="181342CE"/>
    <w:rsid w:val="181810E3"/>
    <w:rsid w:val="18E61A1B"/>
    <w:rsid w:val="19E924E0"/>
    <w:rsid w:val="1A5E54CC"/>
    <w:rsid w:val="1A686637"/>
    <w:rsid w:val="1AA401A9"/>
    <w:rsid w:val="1AC72C44"/>
    <w:rsid w:val="1AD17112"/>
    <w:rsid w:val="1AE23C2A"/>
    <w:rsid w:val="1B350FA5"/>
    <w:rsid w:val="1B421603"/>
    <w:rsid w:val="1B8E1BA4"/>
    <w:rsid w:val="1C053422"/>
    <w:rsid w:val="1C421550"/>
    <w:rsid w:val="1C9325FA"/>
    <w:rsid w:val="1C9C5B70"/>
    <w:rsid w:val="1CD5308B"/>
    <w:rsid w:val="1D23330D"/>
    <w:rsid w:val="1D8013FD"/>
    <w:rsid w:val="1E930B7A"/>
    <w:rsid w:val="1F785257"/>
    <w:rsid w:val="20416E52"/>
    <w:rsid w:val="204D1B46"/>
    <w:rsid w:val="2053721C"/>
    <w:rsid w:val="207364CA"/>
    <w:rsid w:val="20D9223A"/>
    <w:rsid w:val="21064DFF"/>
    <w:rsid w:val="212136FE"/>
    <w:rsid w:val="213E3281"/>
    <w:rsid w:val="21961918"/>
    <w:rsid w:val="21DA1114"/>
    <w:rsid w:val="22D905E5"/>
    <w:rsid w:val="23863714"/>
    <w:rsid w:val="23C860B3"/>
    <w:rsid w:val="24047AC8"/>
    <w:rsid w:val="24E37481"/>
    <w:rsid w:val="25B92100"/>
    <w:rsid w:val="26221654"/>
    <w:rsid w:val="26327BAC"/>
    <w:rsid w:val="263A2239"/>
    <w:rsid w:val="26542623"/>
    <w:rsid w:val="26C658C2"/>
    <w:rsid w:val="26E2045A"/>
    <w:rsid w:val="271C4C18"/>
    <w:rsid w:val="27494040"/>
    <w:rsid w:val="27512558"/>
    <w:rsid w:val="275A6090"/>
    <w:rsid w:val="27A21561"/>
    <w:rsid w:val="27C82F09"/>
    <w:rsid w:val="27EE2A74"/>
    <w:rsid w:val="281824EF"/>
    <w:rsid w:val="285717B4"/>
    <w:rsid w:val="287C4791"/>
    <w:rsid w:val="28BC387F"/>
    <w:rsid w:val="28CD0E0B"/>
    <w:rsid w:val="28FF046F"/>
    <w:rsid w:val="29001FD1"/>
    <w:rsid w:val="290440D8"/>
    <w:rsid w:val="2B0424E3"/>
    <w:rsid w:val="2D0A06DF"/>
    <w:rsid w:val="2D500191"/>
    <w:rsid w:val="2D5B1D6E"/>
    <w:rsid w:val="2E005813"/>
    <w:rsid w:val="2E056B37"/>
    <w:rsid w:val="2E3537D2"/>
    <w:rsid w:val="2E457F02"/>
    <w:rsid w:val="2E871EFF"/>
    <w:rsid w:val="2EAB6B10"/>
    <w:rsid w:val="2F2214C8"/>
    <w:rsid w:val="2F4E3CEB"/>
    <w:rsid w:val="2F7829CE"/>
    <w:rsid w:val="2FA6303B"/>
    <w:rsid w:val="2FF328E0"/>
    <w:rsid w:val="30843C79"/>
    <w:rsid w:val="309738FA"/>
    <w:rsid w:val="30F026A2"/>
    <w:rsid w:val="31287C8B"/>
    <w:rsid w:val="31AD06D7"/>
    <w:rsid w:val="31BF7961"/>
    <w:rsid w:val="31C34909"/>
    <w:rsid w:val="31C41E8D"/>
    <w:rsid w:val="31E958E2"/>
    <w:rsid w:val="31F160BD"/>
    <w:rsid w:val="32DE6629"/>
    <w:rsid w:val="333143B1"/>
    <w:rsid w:val="33E32A95"/>
    <w:rsid w:val="347A1A69"/>
    <w:rsid w:val="34800E9B"/>
    <w:rsid w:val="34B561E0"/>
    <w:rsid w:val="36242903"/>
    <w:rsid w:val="36601776"/>
    <w:rsid w:val="368159D7"/>
    <w:rsid w:val="368547D5"/>
    <w:rsid w:val="369F1124"/>
    <w:rsid w:val="36D36DF1"/>
    <w:rsid w:val="36E06046"/>
    <w:rsid w:val="36E12EEC"/>
    <w:rsid w:val="377B41AF"/>
    <w:rsid w:val="37F33B7A"/>
    <w:rsid w:val="383F1CF2"/>
    <w:rsid w:val="38F615E4"/>
    <w:rsid w:val="396318AD"/>
    <w:rsid w:val="39FB0FDB"/>
    <w:rsid w:val="3AB63996"/>
    <w:rsid w:val="3B2374B2"/>
    <w:rsid w:val="3B747E71"/>
    <w:rsid w:val="3B895FEB"/>
    <w:rsid w:val="3BBD34E1"/>
    <w:rsid w:val="3BD64F66"/>
    <w:rsid w:val="3CA43E5C"/>
    <w:rsid w:val="3D0577B5"/>
    <w:rsid w:val="3DB81F73"/>
    <w:rsid w:val="3DE15D8D"/>
    <w:rsid w:val="3DE23AE2"/>
    <w:rsid w:val="3EFD21D9"/>
    <w:rsid w:val="3F6800A3"/>
    <w:rsid w:val="3F7C470E"/>
    <w:rsid w:val="40347DEC"/>
    <w:rsid w:val="403A3EED"/>
    <w:rsid w:val="40F12E41"/>
    <w:rsid w:val="40F32A11"/>
    <w:rsid w:val="41707660"/>
    <w:rsid w:val="417F35A0"/>
    <w:rsid w:val="4198730F"/>
    <w:rsid w:val="41AC44C7"/>
    <w:rsid w:val="41D12B42"/>
    <w:rsid w:val="42260EA2"/>
    <w:rsid w:val="42F11094"/>
    <w:rsid w:val="437E5424"/>
    <w:rsid w:val="438B27B5"/>
    <w:rsid w:val="43A649B4"/>
    <w:rsid w:val="444873F4"/>
    <w:rsid w:val="446A2417"/>
    <w:rsid w:val="449C6E58"/>
    <w:rsid w:val="454042B3"/>
    <w:rsid w:val="46F24945"/>
    <w:rsid w:val="481C565E"/>
    <w:rsid w:val="485306D8"/>
    <w:rsid w:val="4904108C"/>
    <w:rsid w:val="4A2274E4"/>
    <w:rsid w:val="4A244520"/>
    <w:rsid w:val="4A387B27"/>
    <w:rsid w:val="4A3F50C3"/>
    <w:rsid w:val="4A565489"/>
    <w:rsid w:val="4A69389D"/>
    <w:rsid w:val="4A7060FF"/>
    <w:rsid w:val="4A7F3FDF"/>
    <w:rsid w:val="4ABA42E9"/>
    <w:rsid w:val="4AF07B1A"/>
    <w:rsid w:val="4B6E6C91"/>
    <w:rsid w:val="4C71175A"/>
    <w:rsid w:val="4D634652"/>
    <w:rsid w:val="4D8C09BB"/>
    <w:rsid w:val="4DD252B5"/>
    <w:rsid w:val="4E883AF0"/>
    <w:rsid w:val="4F4925BC"/>
    <w:rsid w:val="4F98137B"/>
    <w:rsid w:val="50422E19"/>
    <w:rsid w:val="518872F7"/>
    <w:rsid w:val="51933492"/>
    <w:rsid w:val="51B77F8C"/>
    <w:rsid w:val="51C508D0"/>
    <w:rsid w:val="521C7121"/>
    <w:rsid w:val="52B17643"/>
    <w:rsid w:val="52EB0EDC"/>
    <w:rsid w:val="530F4292"/>
    <w:rsid w:val="53A764D0"/>
    <w:rsid w:val="53D84ABA"/>
    <w:rsid w:val="555313D1"/>
    <w:rsid w:val="555E4E92"/>
    <w:rsid w:val="55DB4193"/>
    <w:rsid w:val="566C5A2C"/>
    <w:rsid w:val="566F779A"/>
    <w:rsid w:val="568C2CE2"/>
    <w:rsid w:val="56C85B6D"/>
    <w:rsid w:val="56CD1C29"/>
    <w:rsid w:val="570D5DEE"/>
    <w:rsid w:val="574D05A9"/>
    <w:rsid w:val="57711F01"/>
    <w:rsid w:val="579A71DC"/>
    <w:rsid w:val="58067D23"/>
    <w:rsid w:val="582033C8"/>
    <w:rsid w:val="58331046"/>
    <w:rsid w:val="58C148A4"/>
    <w:rsid w:val="58EA400F"/>
    <w:rsid w:val="59226AC4"/>
    <w:rsid w:val="59A81F82"/>
    <w:rsid w:val="5A0709DC"/>
    <w:rsid w:val="5AB91E0A"/>
    <w:rsid w:val="5C1B6233"/>
    <w:rsid w:val="5CA72CB1"/>
    <w:rsid w:val="5CF650C1"/>
    <w:rsid w:val="5D0956A2"/>
    <w:rsid w:val="5D2F3A4B"/>
    <w:rsid w:val="5D766309"/>
    <w:rsid w:val="5D8A0334"/>
    <w:rsid w:val="5D9E6FA8"/>
    <w:rsid w:val="5E020F87"/>
    <w:rsid w:val="5E7813CF"/>
    <w:rsid w:val="5E914D18"/>
    <w:rsid w:val="5ED23DAA"/>
    <w:rsid w:val="5F4B459E"/>
    <w:rsid w:val="5F540745"/>
    <w:rsid w:val="5F803FE7"/>
    <w:rsid w:val="5F94329F"/>
    <w:rsid w:val="5FA5066A"/>
    <w:rsid w:val="5FBC67F5"/>
    <w:rsid w:val="60FB177E"/>
    <w:rsid w:val="61296302"/>
    <w:rsid w:val="61C36653"/>
    <w:rsid w:val="620B0343"/>
    <w:rsid w:val="621E0449"/>
    <w:rsid w:val="621E0B31"/>
    <w:rsid w:val="6280747C"/>
    <w:rsid w:val="62E358B2"/>
    <w:rsid w:val="6348050A"/>
    <w:rsid w:val="635F37AA"/>
    <w:rsid w:val="63636FEB"/>
    <w:rsid w:val="63672253"/>
    <w:rsid w:val="639C157F"/>
    <w:rsid w:val="63D752E3"/>
    <w:rsid w:val="63E15DFA"/>
    <w:rsid w:val="63EE0AB4"/>
    <w:rsid w:val="64DF5093"/>
    <w:rsid w:val="65855B7B"/>
    <w:rsid w:val="65912D0B"/>
    <w:rsid w:val="65D701DE"/>
    <w:rsid w:val="66534AD5"/>
    <w:rsid w:val="66575D03"/>
    <w:rsid w:val="66B84339"/>
    <w:rsid w:val="673A6C9A"/>
    <w:rsid w:val="678804D3"/>
    <w:rsid w:val="67B72909"/>
    <w:rsid w:val="68996DD9"/>
    <w:rsid w:val="68D04C79"/>
    <w:rsid w:val="690C7DA3"/>
    <w:rsid w:val="69436AE1"/>
    <w:rsid w:val="69484573"/>
    <w:rsid w:val="69AD1B37"/>
    <w:rsid w:val="69DE3175"/>
    <w:rsid w:val="69EE0BC9"/>
    <w:rsid w:val="6A4E0BE4"/>
    <w:rsid w:val="6B0E25B0"/>
    <w:rsid w:val="6B2C3812"/>
    <w:rsid w:val="6BA633A5"/>
    <w:rsid w:val="6BA75E62"/>
    <w:rsid w:val="6D45696B"/>
    <w:rsid w:val="6DAE786A"/>
    <w:rsid w:val="6DBA1156"/>
    <w:rsid w:val="6F160FD0"/>
    <w:rsid w:val="6F57292E"/>
    <w:rsid w:val="6F6C7F4C"/>
    <w:rsid w:val="717A163C"/>
    <w:rsid w:val="71883C75"/>
    <w:rsid w:val="71BB05C1"/>
    <w:rsid w:val="72023E1C"/>
    <w:rsid w:val="72044DC6"/>
    <w:rsid w:val="720D24B0"/>
    <w:rsid w:val="722B743C"/>
    <w:rsid w:val="727959CB"/>
    <w:rsid w:val="72FD2206"/>
    <w:rsid w:val="732E1D78"/>
    <w:rsid w:val="73CB4172"/>
    <w:rsid w:val="74664A28"/>
    <w:rsid w:val="74C01A5C"/>
    <w:rsid w:val="751276B7"/>
    <w:rsid w:val="753F1B69"/>
    <w:rsid w:val="76193058"/>
    <w:rsid w:val="764272A6"/>
    <w:rsid w:val="77E90274"/>
    <w:rsid w:val="77ED0DBA"/>
    <w:rsid w:val="78174A30"/>
    <w:rsid w:val="78523FC0"/>
    <w:rsid w:val="78C35557"/>
    <w:rsid w:val="793A0E3E"/>
    <w:rsid w:val="793B0802"/>
    <w:rsid w:val="794B0FE7"/>
    <w:rsid w:val="797747C5"/>
    <w:rsid w:val="7A4567F9"/>
    <w:rsid w:val="7AE904D7"/>
    <w:rsid w:val="7AED7929"/>
    <w:rsid w:val="7B0D7671"/>
    <w:rsid w:val="7C207AE9"/>
    <w:rsid w:val="7C2F74F2"/>
    <w:rsid w:val="7C4D6B14"/>
    <w:rsid w:val="7C7B3991"/>
    <w:rsid w:val="7CA7307E"/>
    <w:rsid w:val="7D8E091D"/>
    <w:rsid w:val="7D9D648D"/>
    <w:rsid w:val="7DE2271F"/>
    <w:rsid w:val="7DE348EF"/>
    <w:rsid w:val="7F062DB8"/>
    <w:rsid w:val="7F637BED"/>
    <w:rsid w:val="7F6456EF"/>
    <w:rsid w:val="7F6F11EA"/>
    <w:rsid w:val="7F930498"/>
    <w:rsid w:val="7FAD4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70BCE-7840-4D65-8C08-D0DF00AA2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4281</Words>
  <Characters>5412</Characters>
  <Lines>46</Lines>
  <Paragraphs>13</Paragraphs>
  <TotalTime>1</TotalTime>
  <ScaleCrop>false</ScaleCrop>
  <LinksUpToDate>false</LinksUpToDate>
  <CharactersWithSpaces>5630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2020-04-02T06:35:00Z</dcterms:created>
  <dc:creator>PC</dc:creator>
  <cp:lastModifiedBy>凡凡</cp:lastModifiedBy>
  <cp:lastPrinted>2023-04-17T01:43:00Z</cp:lastPrinted>
  <dcterms:modified xsi:type="dcterms:W3CDTF">2023-04-18T06:46:47Z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FC4FFCCE88874867BA05C014B1610E3C</vt:lpwstr>
  </property>
</Properties>
</file>