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left"/>
        <w:rPr>
          <w:rFonts w:ascii="黑体" w:hAnsi="黑体" w:eastAsia="黑体" w:cs="Times New Roman"/>
          <w:bCs/>
          <w:sz w:val="28"/>
          <w:szCs w:val="32"/>
        </w:rPr>
      </w:pPr>
      <w:r>
        <w:rPr>
          <w:rFonts w:ascii="黑体" w:hAnsi="黑体" w:eastAsia="黑体" w:cs="Times New Roman"/>
          <w:bCs/>
          <w:sz w:val="28"/>
          <w:szCs w:val="32"/>
        </w:rPr>
        <w:t>附件1</w:t>
      </w:r>
    </w:p>
    <w:p>
      <w:pPr>
        <w:adjustRightInd w:val="0"/>
        <w:snapToGrid w:val="0"/>
        <w:spacing w:line="579"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bCs/>
          <w:sz w:val="36"/>
          <w:szCs w:val="36"/>
        </w:rPr>
        <w:t>蔡甸区长江入河排污口整治验收销号清单（涉蔡甸区生态环境分局28处）</w:t>
      </w:r>
    </w:p>
    <w:tbl>
      <w:tblPr>
        <w:tblStyle w:val="3"/>
        <w:tblW w:w="5000" w:type="pct"/>
        <w:jc w:val="center"/>
        <w:tblLayout w:type="autofit"/>
        <w:tblCellMar>
          <w:top w:w="0" w:type="dxa"/>
          <w:left w:w="108" w:type="dxa"/>
          <w:bottom w:w="0" w:type="dxa"/>
          <w:right w:w="108" w:type="dxa"/>
        </w:tblCellMar>
      </w:tblPr>
      <w:tblGrid>
        <w:gridCol w:w="494"/>
        <w:gridCol w:w="3292"/>
        <w:gridCol w:w="2056"/>
        <w:gridCol w:w="1456"/>
        <w:gridCol w:w="1460"/>
        <w:gridCol w:w="1582"/>
        <w:gridCol w:w="2704"/>
        <w:gridCol w:w="1265"/>
        <w:gridCol w:w="2539"/>
        <w:gridCol w:w="2712"/>
        <w:gridCol w:w="1587"/>
      </w:tblGrid>
      <w:tr>
        <w:tblPrEx>
          <w:tblCellMar>
            <w:top w:w="0" w:type="dxa"/>
            <w:left w:w="108" w:type="dxa"/>
            <w:bottom w:w="0" w:type="dxa"/>
            <w:right w:w="108" w:type="dxa"/>
          </w:tblCellMar>
        </w:tblPrEx>
        <w:trPr>
          <w:cantSplit/>
          <w:trHeight w:val="458" w:hRule="atLeast"/>
          <w:tblHeader/>
          <w:jc w:val="center"/>
        </w:trPr>
        <w:tc>
          <w:tcPr>
            <w:tcW w:w="1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Style w:val="5"/>
                <w:rFonts w:hint="default" w:ascii="Times New Roman" w:hAnsi="Times New Roman" w:eastAsia="仿宋_GB2312" w:cs="Times New Roman"/>
                <w:kern w:val="2"/>
              </w:rPr>
            </w:pPr>
            <w:r>
              <w:rPr>
                <w:rStyle w:val="5"/>
                <w:rFonts w:hint="default" w:ascii="Times New Roman" w:hAnsi="Times New Roman" w:eastAsia="仿宋_GB2312" w:cs="Times New Roman"/>
                <w:kern w:val="2"/>
              </w:rPr>
              <w:t>序号</w:t>
            </w:r>
          </w:p>
        </w:tc>
        <w:tc>
          <w:tcPr>
            <w:tcW w:w="1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Style w:val="5"/>
                <w:rFonts w:hint="default" w:ascii="Times New Roman" w:hAnsi="Times New Roman" w:eastAsia="仿宋_GB2312" w:cs="Times New Roman"/>
              </w:rPr>
            </w:pPr>
            <w:r>
              <w:rPr>
                <w:rStyle w:val="5"/>
                <w:rFonts w:hint="default" w:ascii="Times New Roman" w:hAnsi="Times New Roman" w:eastAsia="仿宋_GB2312" w:cs="Times New Roman"/>
              </w:rPr>
              <w:t>排口基本信息</w:t>
            </w:r>
          </w:p>
        </w:tc>
        <w:tc>
          <w:tcPr>
            <w:tcW w:w="10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排口类型</w:t>
            </w:r>
          </w:p>
        </w:tc>
        <w:tc>
          <w:tcPr>
            <w:tcW w:w="15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整治方案</w:t>
            </w: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ascii="Times New Roman" w:hAnsi="Times New Roman" w:eastAsia="仿宋_GB2312" w:cs="Times New Roman"/>
                <w:b/>
                <w:bCs/>
                <w:color w:val="000000"/>
                <w:kern w:val="0"/>
                <w:sz w:val="16"/>
                <w:szCs w:val="16"/>
              </w:rPr>
            </w:pPr>
            <w:r>
              <w:rPr>
                <w:rFonts w:ascii="Times New Roman" w:hAnsi="Times New Roman" w:eastAsia="仿宋_GB2312" w:cs="Times New Roman"/>
                <w:b/>
                <w:bCs/>
                <w:color w:val="000000"/>
                <w:kern w:val="0"/>
                <w:sz w:val="16"/>
                <w:szCs w:val="16"/>
              </w:rPr>
              <w:t>是否竖立标示牌</w:t>
            </w:r>
          </w:p>
        </w:tc>
      </w:tr>
      <w:tr>
        <w:tblPrEx>
          <w:tblCellMar>
            <w:top w:w="0" w:type="dxa"/>
            <w:left w:w="108" w:type="dxa"/>
            <w:bottom w:w="0" w:type="dxa"/>
            <w:right w:w="108" w:type="dxa"/>
          </w:tblCellMar>
        </w:tblPrEx>
        <w:trPr>
          <w:cantSplit/>
          <w:trHeight w:val="416" w:hRule="atLeast"/>
          <w:tblHeader/>
          <w:jc w:val="center"/>
        </w:trPr>
        <w:tc>
          <w:tcPr>
            <w:tcW w:w="1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Style w:val="5"/>
                <w:rFonts w:hint="default" w:ascii="Times New Roman" w:hAnsi="Times New Roman" w:eastAsia="仿宋_GB2312" w:cs="Times New Roman"/>
              </w:rPr>
            </w:pP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Style w:val="5"/>
                <w:rFonts w:hint="default" w:ascii="Times New Roman" w:hAnsi="Times New Roman" w:eastAsia="仿宋_GB2312" w:cs="Times New Roman"/>
              </w:rPr>
            </w:pPr>
            <w:r>
              <w:rPr>
                <w:rStyle w:val="5"/>
                <w:rFonts w:hint="default" w:ascii="Times New Roman" w:hAnsi="Times New Roman" w:eastAsia="仿宋_GB2312" w:cs="Times New Roman"/>
              </w:rPr>
              <w:t>正式命名</w:t>
            </w:r>
          </w:p>
        </w:tc>
        <w:tc>
          <w:tcPr>
            <w:tcW w:w="4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正式编码</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经度</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纬度</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大类</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小类</w:t>
            </w: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整治类型</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整治目标</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整治措施</w:t>
            </w: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p>
        </w:tc>
      </w:tr>
      <w:tr>
        <w:tblPrEx>
          <w:tblCellMar>
            <w:top w:w="0" w:type="dxa"/>
            <w:left w:w="108" w:type="dxa"/>
            <w:bottom w:w="0" w:type="dxa"/>
            <w:right w:w="108" w:type="dxa"/>
          </w:tblCellMar>
        </w:tblPrEx>
        <w:trPr>
          <w:cantSplit/>
          <w:trHeight w:val="283" w:hRule="atLeast"/>
          <w:jc w:val="center"/>
        </w:trPr>
        <w:tc>
          <w:tcPr>
            <w:tcW w:w="11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w:t>
            </w:r>
          </w:p>
        </w:tc>
        <w:tc>
          <w:tcPr>
            <w:tcW w:w="77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114.067426350433</w:t>
            </w:r>
          </w:p>
        </w:tc>
        <w:tc>
          <w:tcPr>
            <w:tcW w:w="34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30.5921329350035</w:t>
            </w:r>
          </w:p>
        </w:tc>
        <w:tc>
          <w:tcPr>
            <w:tcW w:w="37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一家一户排污口</w:t>
            </w:r>
          </w:p>
        </w:tc>
        <w:tc>
          <w:tcPr>
            <w:tcW w:w="29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114.000055445808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30.5898739688465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未发现排口的推送点位</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114.000824725985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30.5872184270829</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排口排入独立水塘，不外排，非排口。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114.047650697107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30.5713551511807</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林地雨水排入独立水塘，不外排，非排口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武汉市蔡甸区杰安居公司厂区雨水排口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FG-420114-0005-GY-00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114.053914820892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30.5855173311897</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工业排污口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厂区雨水排口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排水水质稳定达到《地表水环境质量标准》（GB3838-2002）V类标准。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严禁园区或企业废污水混合雨水排放，加强对生活污水收集处理，排口作为厂区雨水排口保留。现杰安居公司已停止生产，计划2022年3月搬迁</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113.999580759055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30.5885736255175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鱼塘间连通换水口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113.924611322744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30.6438201416674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未发现排口的推送点位</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114.048270860235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30.5849204864772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过水涵洞</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武汉市蔡甸区石洋污水处理厂雨水排口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FG-420114-0012-GY-00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114.048840092649</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30.5840884310461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工业排污口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厂区雨水排口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排水水质稳定达到《地表水环境质量标准》（GB3838-2002）V类标准。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污水处理厂内完成雨污分流改造，并对初期雨水进行收集处理。后期应加强污水处理厂的日常监管，强化监管信息化建设，确保达标排放。</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114.048842640014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30.5855599274569</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重复排口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武汉市蔡甸区西湖苗圃南侧1号水产养殖排污口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FG-420114-0014-NY-00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113.99398619233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30.6037792308548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农业农村排污口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水产养殖排污口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水体不出现黑臭，其中要求NH3-N≤8mg/L；满足《淡水池塘养殖水排放要求》中二级标准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引导养殖户合理安排养殖结构，严格控制养殖密度，科学放养水产品种,合理适度投饵、施肥、用药，确保水质保持良好的生态环境。通过推广综合种养结合生态循环农业，培育壮大生态渔业、绿色水产，实现排口达标排放。</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114.108309992073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30.5891466757158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一家一户排污口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90"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武汉市蔡甸区石洋污水处理厂排污口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FG-420114-0016-SH-00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114.049887262967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30.585417163726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城镇生活污水排污口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城镇污水集中处理设施排污口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排水水质稳定达到《城镇污水处理厂污染物排放标准》（GB18918-2002）一级A排放标准。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应持续推进污水处理设施服务范围内的污水管网建设、整改及雨污分流改造，提高片区污水收集率、处理率和稳定的处理效果。排口安装水质水量监测系统并与市污染源监控系统联网，加强日常监管，保证处理设施的正常运行和出水水质标准，保证污泥合理处置，确保排口达标排放。</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是</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114.022470153826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30.5947341236996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重复排口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武汉市蔡甸区石洋污水处理有限公司西侧20m雨水排口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FG-420114-0041-GY-00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114.048592502194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30.58226305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工业排污口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厂区雨水排口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确保无污水排放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排口拆除</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武汉市蔡甸区汉阳河西湖苗圃南种植业排口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FG-420114-0020-NY-00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113.997647004271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30.6013714589782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农业农村排污口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种植业排口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生产作业时，排水水质稳定达到《农田灌溉水质标准》（GB5084-2021）；非作业期时，排水水质稳定达到《地表水环境质量标准》（GB3838-2002）V类标准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实施农业绿色发展行动，强化畜禽粪污资源化利用、强化化肥农药减量增效、强化秸秆地膜综合利用。通过逐步推广测土配方施肥、化肥零增长、农药减量化、有机肥还田等生态种植措施，逐步实现种植业排口有效整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武汉市蔡甸区自来水厂反冲洗生产废水排污口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FG-420114-0021-GY-00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114.022470153826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30.5947341236996</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工业排污口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生产废水排污口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执行《湖北省汉江中下游流域污水综合排放标准》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加强日常监管，确保达标排放。</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是</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武汉市蔡甸区西湖苗圃南侧2号水产养殖排污口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FG-420114-0024-NY-00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113.99398619233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30.6037792308548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农业农村排污口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水产养殖排污口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水体不出现黑臭，其中要求NH3-N≤8mg/L；满足《淡水池塘养殖水排放要求》中二级标准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引导合理安排养殖结构，严格控制养殖密度，科学放养水产品种,合理适度投饵、施肥、用药，确保水质保持良好的生态环境。通过推广综合种养结合生态循环农业，培育壮大生态渔业、绿色水产，实现排口达标排放。</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114.049050421922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30.5832812932554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重复排口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114.106967142383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30.5863091018591</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未发现排口的推送点位</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1258"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114.022246990801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30.5916408290014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进水管</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武汉市蔡甸区石洋污水处理有限公司西侧10m雨水排口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FG-420114-0044-GY-00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114.048387479128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30.5836853485693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工业排污口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厂区雨水排口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确保无污水排放</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排口拆除</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114.049332860044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30.58485499202</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过水涵洞</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90"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114.03922766128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30.5861073133687</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重复排口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武汉市蔡甸区石洋污水处理有限公司西北侧30m雨水排口</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FG-420114-0045-GY-00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114.049050421922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30.5832812932554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工业排污口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厂区雨水排口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排水水质稳定达到《地表水环境质量标准》（GB3838-2002）V类标准。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污水处理厂内进行雨污分流改造和对初期雨水的收集处理。后期加强日常监管，强化监管信息化建设，确保达标排放。</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114.039432480825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30.5860987754558</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重复排口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114.00168870352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30.5876070484823</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地表冲沟</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114.012604134936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30.5921365743394</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非排口</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过水涵洞</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bl>
    <w:p>
      <w:pPr>
        <w:spacing w:before="7" w:line="333" w:lineRule="auto"/>
        <w:ind w:left="6" w:right="66" w:firstLine="634"/>
        <w:rPr>
          <w:rFonts w:ascii="Times New Roman" w:hAnsi="Times New Roman" w:eastAsia="仿宋_GB2312" w:cs="Times New Roman"/>
          <w:spacing w:val="2"/>
          <w:sz w:val="24"/>
        </w:rPr>
        <w:sectPr>
          <w:pgSz w:w="23811" w:h="16838" w:orient="landscape"/>
          <w:pgMar w:top="1800" w:right="1440" w:bottom="1800" w:left="1440" w:header="851" w:footer="992" w:gutter="0"/>
          <w:pgNumType w:fmt="numberInDash"/>
          <w:cols w:space="425" w:num="1"/>
          <w:docGrid w:type="lines" w:linePitch="312" w:charSpace="0"/>
        </w:sectPr>
      </w:pPr>
    </w:p>
    <w:p>
      <w:pPr>
        <w:adjustRightInd w:val="0"/>
        <w:snapToGrid w:val="0"/>
        <w:spacing w:line="579"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蔡甸区长江入河排污口整治验收销号清单（涉蔡甸区水务和湖泊局38处）</w:t>
      </w:r>
    </w:p>
    <w:tbl>
      <w:tblPr>
        <w:tblStyle w:val="3"/>
        <w:tblW w:w="5000" w:type="pct"/>
        <w:jc w:val="center"/>
        <w:tblLayout w:type="autofit"/>
        <w:tblCellMar>
          <w:top w:w="0" w:type="dxa"/>
          <w:left w:w="108" w:type="dxa"/>
          <w:bottom w:w="0" w:type="dxa"/>
          <w:right w:w="108" w:type="dxa"/>
        </w:tblCellMar>
      </w:tblPr>
      <w:tblGrid>
        <w:gridCol w:w="474"/>
        <w:gridCol w:w="2319"/>
        <w:gridCol w:w="1946"/>
        <w:gridCol w:w="1456"/>
        <w:gridCol w:w="1456"/>
        <w:gridCol w:w="1616"/>
        <w:gridCol w:w="2154"/>
        <w:gridCol w:w="1070"/>
        <w:gridCol w:w="3042"/>
        <w:gridCol w:w="4383"/>
        <w:gridCol w:w="1231"/>
      </w:tblGrid>
      <w:tr>
        <w:tblPrEx>
          <w:tblCellMar>
            <w:top w:w="0" w:type="dxa"/>
            <w:left w:w="108" w:type="dxa"/>
            <w:bottom w:w="0" w:type="dxa"/>
            <w:right w:w="108" w:type="dxa"/>
          </w:tblCellMar>
        </w:tblPrEx>
        <w:trPr>
          <w:cantSplit/>
          <w:trHeight w:val="458" w:hRule="atLeast"/>
          <w:tblHeader/>
          <w:jc w:val="center"/>
        </w:trPr>
        <w:tc>
          <w:tcPr>
            <w:tcW w:w="1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Style w:val="5"/>
                <w:rFonts w:hint="default" w:ascii="Times New Roman" w:hAnsi="Times New Roman" w:eastAsia="仿宋_GB2312" w:cs="Times New Roman"/>
                <w:kern w:val="2"/>
              </w:rPr>
            </w:pPr>
            <w:r>
              <w:rPr>
                <w:rStyle w:val="5"/>
                <w:rFonts w:hint="default" w:ascii="Times New Roman" w:hAnsi="Times New Roman" w:eastAsia="仿宋_GB2312" w:cs="Times New Roman"/>
                <w:kern w:val="2"/>
              </w:rPr>
              <w:t>序号</w:t>
            </w:r>
          </w:p>
        </w:tc>
        <w:tc>
          <w:tcPr>
            <w:tcW w:w="169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Style w:val="5"/>
                <w:rFonts w:hint="default" w:ascii="Times New Roman" w:hAnsi="Times New Roman" w:eastAsia="仿宋_GB2312" w:cs="Times New Roman"/>
              </w:rPr>
            </w:pPr>
            <w:r>
              <w:rPr>
                <w:rStyle w:val="5"/>
                <w:rFonts w:hint="default" w:ascii="Times New Roman" w:hAnsi="Times New Roman" w:eastAsia="仿宋_GB2312" w:cs="Times New Roman"/>
              </w:rPr>
              <w:t>排口基本信息</w:t>
            </w:r>
          </w:p>
        </w:tc>
        <w:tc>
          <w:tcPr>
            <w:tcW w:w="8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排口类型</w:t>
            </w:r>
          </w:p>
        </w:tc>
        <w:tc>
          <w:tcPr>
            <w:tcW w:w="200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整治方案</w:t>
            </w:r>
          </w:p>
        </w:tc>
        <w:tc>
          <w:tcPr>
            <w:tcW w:w="2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ascii="Times New Roman" w:hAnsi="Times New Roman" w:eastAsia="仿宋_GB2312" w:cs="Times New Roman"/>
                <w:b/>
                <w:bCs/>
                <w:color w:val="000000"/>
                <w:kern w:val="0"/>
                <w:sz w:val="16"/>
                <w:szCs w:val="16"/>
              </w:rPr>
            </w:pPr>
            <w:r>
              <w:rPr>
                <w:rFonts w:ascii="Times New Roman" w:hAnsi="Times New Roman" w:eastAsia="仿宋_GB2312" w:cs="Times New Roman"/>
                <w:b/>
                <w:bCs/>
                <w:color w:val="000000"/>
                <w:kern w:val="0"/>
                <w:sz w:val="16"/>
                <w:szCs w:val="16"/>
              </w:rPr>
              <w:t>是否竖立标示牌</w:t>
            </w:r>
          </w:p>
        </w:tc>
      </w:tr>
      <w:tr>
        <w:tblPrEx>
          <w:tblCellMar>
            <w:top w:w="0" w:type="dxa"/>
            <w:left w:w="108" w:type="dxa"/>
            <w:bottom w:w="0" w:type="dxa"/>
            <w:right w:w="108" w:type="dxa"/>
          </w:tblCellMar>
        </w:tblPrEx>
        <w:trPr>
          <w:cantSplit/>
          <w:trHeight w:val="416" w:hRule="atLeast"/>
          <w:tblHeader/>
          <w:jc w:val="center"/>
        </w:trPr>
        <w:tc>
          <w:tcPr>
            <w:tcW w:w="1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Style w:val="5"/>
                <w:rFonts w:hint="default" w:ascii="Times New Roman" w:hAnsi="Times New Roman" w:eastAsia="仿宋_GB2312" w:cs="Times New Roman"/>
              </w:rPr>
            </w:pP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Style w:val="5"/>
                <w:rFonts w:hint="default" w:ascii="Times New Roman" w:hAnsi="Times New Roman" w:eastAsia="仿宋_GB2312" w:cs="Times New Roman"/>
              </w:rPr>
            </w:pPr>
            <w:r>
              <w:rPr>
                <w:rStyle w:val="5"/>
                <w:rFonts w:hint="default" w:ascii="Times New Roman" w:hAnsi="Times New Roman" w:eastAsia="仿宋_GB2312" w:cs="Times New Roman"/>
              </w:rPr>
              <w:t>正式命名</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正式编码</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经度</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纬度</w:t>
            </w:r>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大类</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小类</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整治类型</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整治目标</w:t>
            </w:r>
          </w:p>
        </w:tc>
        <w:tc>
          <w:tcPr>
            <w:tcW w:w="10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r>
              <w:rPr>
                <w:rStyle w:val="5"/>
                <w:rFonts w:hint="default" w:ascii="Times New Roman" w:hAnsi="Times New Roman" w:eastAsia="仿宋_GB2312" w:cs="Times New Roman"/>
              </w:rPr>
              <w:t>整治措施</w:t>
            </w:r>
          </w:p>
        </w:tc>
        <w:tc>
          <w:tcPr>
            <w:tcW w:w="2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imes New Roman" w:hAnsi="Times New Roman" w:eastAsia="仿宋_GB2312" w:cs="Times New Roman"/>
                <w:b/>
                <w:bCs/>
                <w:color w:val="000000"/>
                <w:sz w:val="16"/>
                <w:szCs w:val="16"/>
              </w:rPr>
            </w:pPr>
          </w:p>
        </w:tc>
      </w:tr>
      <w:tr>
        <w:tblPrEx>
          <w:tblCellMar>
            <w:top w:w="0" w:type="dxa"/>
            <w:left w:w="108" w:type="dxa"/>
            <w:bottom w:w="0" w:type="dxa"/>
            <w:right w:w="108" w:type="dxa"/>
          </w:tblCellMar>
        </w:tblPrEx>
        <w:trPr>
          <w:cantSplit/>
          <w:trHeight w:val="283" w:hRule="atLeast"/>
          <w:jc w:val="center"/>
        </w:trPr>
        <w:tc>
          <w:tcPr>
            <w:tcW w:w="11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w:t>
            </w:r>
          </w:p>
        </w:tc>
        <w:tc>
          <w:tcPr>
            <w:tcW w:w="54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武汉市蔡甸区张湾余家台电商工业园雨洪排口</w:t>
            </w:r>
          </w:p>
        </w:tc>
        <w:tc>
          <w:tcPr>
            <w:tcW w:w="46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FA-420114-0027-YH-00</w:t>
            </w:r>
          </w:p>
        </w:tc>
        <w:tc>
          <w:tcPr>
            <w:tcW w:w="34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113.9464689</w:t>
            </w:r>
          </w:p>
        </w:tc>
        <w:tc>
          <w:tcPr>
            <w:tcW w:w="34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30.6912087035385</w:t>
            </w:r>
          </w:p>
        </w:tc>
        <w:tc>
          <w:tcPr>
            <w:tcW w:w="38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该排污口不具备纳管条件，应采取有效措施收集处理污水，确保达标排放。</w:t>
            </w:r>
          </w:p>
        </w:tc>
        <w:tc>
          <w:tcPr>
            <w:tcW w:w="103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该区域属于截污纳管条件困难的城镇污水散排区域，短期内计划实施一体化污水处理设施，实行分散处理。通过集中处置与分散处理相结合的各类措施，实现对未截污纳管城镇生活污水散排口的有效整治，确保达标排放，远期该片区将拆迁。</w:t>
            </w:r>
          </w:p>
        </w:tc>
        <w:tc>
          <w:tcPr>
            <w:tcW w:w="29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是</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武汉市蔡甸区永固湖1号城镇雨洪排口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FG-420114-0001-YH-00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114.014578575612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30.5919566079009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完成周边管网截污工程，无污水入湖，为市政雨洪排口。后期持续推进周边雨污管网混错接探查及改造工程，加强日常监管，关注晴天排水情况，强化监管信息化建设，确保雨天达标排放。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bookmarkStart w:id="0" w:name="_GoBack"/>
            <w:bookmarkEnd w:id="0"/>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武汉市蔡甸区蔡甸监狱西南50m雨洪排口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FG-420114-0002-YH-00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113.999055212371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30.6029133992156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排水水质执行稳定达到《地表水环境质量标准》（GB3838-2002）V类标准。完成鱼塘养殖废水截污工程</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现在正在进行蔡甸监狱污水截污工程，目前晴天未排水，对周边鱼塘进入暗渠的排放口进行截污整治，整治完成后排口作为周边雨洪排口保留。</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武汉市蔡甸区永固湖2号城镇雨洪排口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FG-420114-0003-YH-00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114.013309161676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30.5912955490548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完成周边管网截污工程，无污水入湖，为市政雨洪排口。后期持续推进周边雨污管网混错接探查及改造工程，加强日常监管，关注晴天排水情况，强化监管信息化建设，确保雨天达标排放。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武汉市蔡甸区石洋湖泵站抽排雨洪排口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FG-420114-0004-YH-00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114.048111443338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30.5855393978819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石洋泵站现已改造完成，已拆除原石洋泵站，新建进水渠、拦污栅桥、前池、进水池、主泵房、出水钢管段、出水池、消力池等。后期将持续推进清水入江工程，完善周边区域市政管网建设和雨污分流改造，并加强日常监管，确保应急排放时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武汉市蔡甸区汉阳监狱扩建工程西北50米雨洪排口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FG-420114-0037-YH-00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114.1016117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30.58638955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确保无污水排放</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排口拆除</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武汉市蔡甸区谢八家泵站</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FG-420114-0006-GQ-00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113.92599457469</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30.625523078109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现已完成周边管网截污工程，周边村庄已完成生活污水收集，通过人工湿地处理后达标排放，无生活污水直排如沟渠。后期应针对周边农业面源污染进行整改，积极发展生态农业，促进新型能源利用，注重农业废弃物回收，实现资源循环利用，推广科学施肥，减少化肥农药污染。</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武汉市蔡甸区永固湖3号城镇雨洪排口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FG-420114-0007-YH-00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114.01463473249</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30.5922622630418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完成周边管网截污工程，无污水入湖，为市政雨洪排口。后期持续推进周边雨污管网混错接探查及改造工程，加强日常监管，关注晴天排水情况，强化监管信息化建设，确保雨天达标排放。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武汉市蔡甸区汉阳监狱扩建工程北30米雨洪排口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FG-420114-0038-YH-00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114.1017822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30.58651656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确保无污水排放</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排口拆除</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武汉市蔡甸区大桥泵站后1号城镇雨洪排口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FG-420114-0008-YH-00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114.038300077366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30.5849310643956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现已完成大桥泵站改造工程，拆除原大桥泵站1039平方米，新建大桥泵站（流量规模27立方米/秒、总容量3125千瓦），泵站面积6743平方米，配套安装500千瓦泵机6台、节制闸等附属设施。后期持续推进清水入江工程，完善周边区域市政管网建设和雨污分流改造。</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武汉市蔡甸区石洋湖东北角闸城镇雨洪排口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FG-420114-0009-YH-00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114.053518732866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30.580956849067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完成周边管网截污工程，无污水入湖，为市政雨洪排口。后期持续推进周边雨污管网混错接探查及改造工程，加强日常监管，关注晴天排水情况，强化监管信息化建设，确保雨天达标排放。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武汉市蔡甸区大桥泵站抽排雨洪排口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FG-420114-0010-YH-00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114.038959903911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30.5863641261006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大桥泵站改造工程，拆除原大桥泵站1039平方米，新建大桥泵站（流量规模27立方米/秒、总容量3125千瓦），泵站面积6743平方米，配套安装500千瓦泵机6台、节制闸等附属设施。后期将持续推进清水入江工程，完善周边区域市政管网建设和雨污分流改造。</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90"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武汉市蔡甸区永固湖4号城镇雨洪排口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FG-420114-0011-YH-00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114.013183433395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30.5911435804488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确保无污水排放</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完成周边管网截污工程，无污水入湖，为市政雨洪排口。后期持续推进周边雨污管网混错接探查及改造工程，加强日常监管，关注晴天排水情况，强化监管信息化建设，确保雨天达标排放。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武汉市蔡甸区永泰同心合作社西侧150m雨洪排口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FG-420114-0039-YH-00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113.9376011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30.63295099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确保无污水排放</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封堵排口</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武汉市蔡甸区大桥闸2号城镇雨洪排口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FG-420114-0040-YH-00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114.039020168475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30.5860881602557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大桥泵站改造工程，拆除原大桥泵站1039平方米，新建大桥泵站（流量规模27立方米/秒、总容量3125千瓦），泵站面积6743平方米，配套安装500千瓦泵机6台、节制闸等附属设施。后期将持续推进清水入江工程，完善周边区域市政管网建设和雨污分流改造。</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武汉市蔡甸区汉阳河西湖泵站自排雨水排口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FG-420114-0013-GQ-00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114.005568989601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30.6007013359575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排水水质稳定达到汉阳河水功能标准，《地表水环境质量标准》（GB3838-2002）Ⅳ类标准。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2018年-2020年汉阳河已根据“一河一策”方案进行治理，现汉阳河水质已持续稳定在目标水质Ⅳ类水。后期根据“一河一策”持续推进对汉阳河汇流范围的流域综合治理规划、良好水体保护规划、河流生态修复规划实施，实现水域功能水质稳定达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武汉市蔡甸区汉阳河西湖泵站抽排涵闸</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FG-420114-0015-GQ-00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114.00543668121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30.5994878067714</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排水水质稳定达到汉阳河水功能标准，《地表水环境质量标准》（GB3838-2002）Ⅳ类标准。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2018年-2020年汉阳河已根据“一河一策”方案进行治理，现汉阳河水质已持续稳定在目标水质Ⅳ类水。后期根据“一河一策”持续推进对汉阳河汇流范围的流域综合治理规划、良好水体保护规划、河流生态修复规划实施，实现水域功能水质稳定达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武汉市蔡甸区什湖低闸</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FG-420114-0017-GQ-00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114.10959256067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30.5910448047466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完成周边居民生活污水截污工程，通过污水处理设施处理后达标排放，完成周边鱼塘退养，对香河进行部分岸线固化，完成周边流域综合整治。后期加强日常监管，强化监管信息化建设。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19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武汉市蔡甸区石洋村东200米雨洪排口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FG-420114-0042-YH-00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114.0480674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30.5843392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确保无污水排放</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排口拆除</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武汉市蔡甸区大刘家湾东400米沟渠</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FG-420114-0018-GQ-00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113.999968797762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30.601814429721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沟渠周边村湾生活污水集中收集通过人工湿地处理后达标排放。后期引导养殖户合理安排周边鱼塘养殖结构，严格控制养殖密度，科学放养水产品种,合理适度投饵、施肥、用药，确保水质保持良好的生态环境。</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1258"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武汉市蔡甸区杨柳堤泵站雨洪排口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FG-420114-0019-YH-00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114.02399548107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30.5943491838557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完成该排口周边污水截污工程，仅特大暴雨时排涝使用。后期加强日常监管，持续推进周边雨污管网混错接探查及改造工程，强化监管信息化建设，确保达标排放。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武汉市蔡甸区石洋渠自排雨洪排口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FG-420114-0022-YH-00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114.04940913509</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30.5855496251973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排水水质执行稳定达到《城镇污水处理厂污染物排放标准》（GB18918-2002）一级A排放标准。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石洋泵站改造，拆除原石洋泵站，新建进水渠、拦污栅桥、前池、进水池、主泵房、出水钢管段、出水池、消力池等。后期将持续推进清水入江工程，完善周边区域市政管网建设和雨污分流改造，加强石洋污水处理厂排污口日常监管，保证处理设施的正常运行和出水水质标准，确保该排口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武汉市蔡甸区龙家台村涵闸</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FG-420114-0023-GQ-00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114.011854007523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30.6039309522073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排口周边污水截污工程，周边村庄完成生活污水集中收集，通过人工湿地处理达标后排放，做到无污水直排。后期应针对农业面源污染，积极发展生态农业，促进新型能源利用；注重农业废弃物回收，实现资源循环利用；推广科学施肥，减少化肥农药污染，实现排口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90"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武汉市蔡甸区旭光村抽排涵闸</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FG-420114-0025-GQ-00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114.030094698189</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30.6087778162779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旭光村完成生活污水集中收集，通过人工湿地处理达标后排放，并完成截污工程，涵闸沟渠无生活污水排入。后期应针对农业面源污染，积极发展生态农业，促进新型能源利用；注重农业废弃物回收，实现资源循环利用；推广科学施肥，减少化肥农药污染，实现排口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武汉市蔡甸区什湖闸泵站抽排管涵</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FG-420114-0026-GQ-00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114.110370284612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30.5911896182635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完成周边居民生活污水截污工程，通过污水处理设施处理后达标排放，完成周边鱼塘退养，对香河进行部分岸线固化，完成周边流域综合整治。后期加强日常监管，强化监管信息化建设。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武汉市蔡甸区大桥泵站后3号城镇雨洪排口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FG-420114-0043-YH-00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114.038591913057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30.5847930614168</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确保无污水排放</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排口拆除</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武汉市蔡甸区大桥闸1号城镇雨洪排口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FG-420114-0028-YH-00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114.039337445573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30.5859685746943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大桥泵站改造工程，拆除原大桥泵站1039平方米，新建大桥泵站（流量规模27立方米/秒、总容量3125千瓦），泵站面积6743平方米，配套安装500千瓦泵机6台、节制闸等附属设施。后期将持续推进清水入江工程，完善周边区域市政管网建设和雨污分流改造，实现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武汉市蔡甸区永固堤闸自排雨洪排口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FG-420114-0029-YH-00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114.011588475608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30.5964681746534</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永固湖泵站维修改造工程，疏挖护砌进水渠80米；拆除重建拦污栅桥1座；泵站进水池18米及前池疏挖护砌；重建泵站泵房40平方米；重建出水流道及出水消力池10米；改造站区配套管理设施。后期将持续推进清水入江工程完善周边区域市政管网建设和雨污分流改造，实现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29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武汉市蔡甸区新生砖瓦厂南50米雨洪排口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FG-420114-0030-YH-00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114.0015203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30.60194935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取缔</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拆除</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拆除</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武汉市蔡甸区四红村入汉阳河沟渠</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FG-420114-0031-GQ-00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113.990981069372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30.6019493532385</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该排污口为排灌两用沟渠，周边村湾生活污水集中收集通过通过人工湿地处理达标后排放，后期针对农业面源污染，积极发展生态农业，促进新型能源利用；注重农业废弃物回收，实现资源循环利用；推广科学施肥，减少化肥农药污染。</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31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武汉市蔡甸区石洋渠节制闸排口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FG-420114-0032-YH-00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114.048652821295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30.5816443100707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完成石洋泵站改造，已拆除原石洋泵站，新建进水渠、拦污栅桥、前池、进水池、主泵房、出水钢管段、出水池、消力池等。后期将持续推进清水入江工程，完善周边区域市政管网建设和雨污分流改造。</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32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武汉市蔡甸区永固闸抽排雨洪排口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FG-420114-0033-YH-00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114.011553745064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30.5959236014402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永固湖泵站维修改造工程，疏挖护砌进水渠80米；拆除重建拦污栅桥1座；泵站进水池18米及前池疏挖护砌；重建泵站泵房40平方米；重建出水流道及出水消力池10米；改造站区配套管理设施。后期将持续推进清水入江工程完善周边区域市政管网建设和雨污分流改造，实现达标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33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武汉市蔡甸区西湖苗圃南侧入汉阳河沟渠</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FG-420114-0034-GQ-00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113.984100777447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30.6056795913782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生产作业时，排水水质稳定达到《农田灌溉水质标准》（GB5084-2021）；非作业期时，排水水质稳定达到《地表水环境质量标准》（GB3838-2002）V类标准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实施农业绿色发展行动，强化畜禽粪污资源化利用、强化化肥农药减量增效、强化秸秆地膜综合利用。通过逐步推广测土配方施肥、化肥零增长、农药减量化、有机肥还田等生态种植措施，逐步实现种植业排口有效整治。</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rPr>
              <w:t>34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武汉市蔡甸区石洋村东南200米沟渠</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FG-420114-0035-GQ-00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114.048217494461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30.5826596442407</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沟渠、河港（涌）、排干等</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根据清水入江工程，对石洋村进行雨污分流改造，石洋村内生活污水做到有效收集处理，确保无污水混入，沟渠水质达标。</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28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35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武汉市蔡甸区大桥泵站后2号雨洪排口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FG-420114-0036-YH-00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114.038250545142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30.5849634924691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规范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排水水质执行稳定达到《地表水环境质量标准》（GB3838-2002）V类标准。</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成大桥泵站改造工程，拆除原大桥泵站1039平方米，新建大桥泵站（流量规模27立方米/秒、总容量3125千瓦），泵站面积6743平方米，配套安装500千瓦泵机6台、节制闸等附属设施。后期将持续推进清水入江工程，完善周边区域市政管网建设和雨污分流改造。</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32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36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武汉市蔡甸区东湖泵站1号城镇雨洪排口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FA-420114-0046-YH-00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114.2101291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30.47260041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封堵排口</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完善封堵措施，加强周边雨污管网排查，推进周边雨污分流改造工程，严禁污水混合雨水排放。</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32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37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武汉市蔡甸区东湖泵站2号城镇雨洪排口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FA-420114--0047-YH-00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114.210493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30.47235933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封堵排口</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该排口附近无明显污染源，对排口进行封堵。</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r>
        <w:tblPrEx>
          <w:tblCellMar>
            <w:top w:w="0" w:type="dxa"/>
            <w:left w:w="108" w:type="dxa"/>
            <w:bottom w:w="0" w:type="dxa"/>
            <w:right w:w="108" w:type="dxa"/>
          </w:tblCellMar>
        </w:tblPrEx>
        <w:trPr>
          <w:cantSplit/>
          <w:trHeight w:val="323" w:hRule="atLeast"/>
          <w:jc w:val="center"/>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武汉市蔡甸区临江花园东北50米处城镇雨洪排口</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FA-420114--0048-YH-00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114.2102878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30.47183329</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城镇雨洪排口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清理合并</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封堵排口</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新建污水管网，将生活污水引流至污水提升泵后，封堵该排口。</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 w:val="16"/>
                <w:szCs w:val="16"/>
              </w:rPr>
            </w:pPr>
            <w:r>
              <w:rPr>
                <w:rFonts w:hint="eastAsia" w:ascii="Times New Roman" w:hAnsi="Times New Roman" w:eastAsia="宋体" w:cs="Times New Roman"/>
                <w:color w:val="000000"/>
                <w:kern w:val="0"/>
                <w:sz w:val="16"/>
                <w:szCs w:val="16"/>
              </w:rPr>
              <w:t>否</w:t>
            </w:r>
          </w:p>
        </w:tc>
      </w:tr>
    </w:tbl>
    <w:p/>
    <w:sectPr>
      <w:pgSz w:w="23811" w:h="16838" w:orient="landscape"/>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WE3MDk0YWE1ODVhMzA0ZjAxMmE0MWVjMTVmMjYifQ=="/>
  </w:docVars>
  <w:rsids>
    <w:rsidRoot w:val="0643223B"/>
    <w:rsid w:val="0643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5">
    <w:name w:val="font01"/>
    <w:basedOn w:val="4"/>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2024-05-11T07:36:00Z</dcterms:created>
  <dc:creator>puss</dc:creator>
  <cp:lastModifiedBy>puss</cp:lastModifiedBy>
  <dcterms:modified xsi:type="dcterms:W3CDTF">2024-05-11T07:41:39Z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C823D2177A424264A5C98693C481C5A5_11</vt:lpwstr>
  </property>
</Properties>
</file>